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56" w:beforeLines="50" w:after="156" w:afterLines="50" w:line="360" w:lineRule="auto"/>
        <w:jc w:val="center"/>
        <w:rPr>
          <w:rFonts w:ascii="宋体" w:hAnsi="宋体"/>
          <w:color w:val="000000" w:themeColor="text1"/>
          <w:kern w:val="0"/>
          <w:sz w:val="28"/>
          <w:szCs w:val="28"/>
          <w14:textFill>
            <w14:solidFill>
              <w14:schemeClr w14:val="tx1"/>
            </w14:solidFill>
          </w14:textFill>
        </w:rPr>
      </w:pPr>
      <w:r>
        <w:rPr>
          <w:rFonts w:hint="eastAsia" w:ascii="宋体" w:hAnsi="宋体"/>
          <w:color w:val="000000" w:themeColor="text1"/>
          <w:kern w:val="0"/>
          <w:sz w:val="28"/>
          <w:szCs w:val="28"/>
          <w14:textFill>
            <w14:solidFill>
              <w14:schemeClr w14:val="tx1"/>
            </w14:solidFill>
          </w14:textFill>
        </w:rPr>
        <w:t>当当网商户技术服务协议</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合同编号：</w:t>
      </w:r>
    </w:p>
    <w:tbl>
      <w:tblPr>
        <w:tblStyle w:val="14"/>
        <w:tblW w:w="0" w:type="auto"/>
        <w:jc w:val="center"/>
        <w:tblLayout w:type="fixed"/>
        <w:tblCellMar>
          <w:top w:w="0" w:type="dxa"/>
          <w:left w:w="108" w:type="dxa"/>
          <w:bottom w:w="0" w:type="dxa"/>
          <w:right w:w="108" w:type="dxa"/>
        </w:tblCellMar>
      </w:tblPr>
      <w:tblGrid>
        <w:gridCol w:w="4981"/>
        <w:gridCol w:w="4981"/>
      </w:tblGrid>
      <w:tr>
        <w:tblPrEx>
          <w:tblCellMar>
            <w:top w:w="0" w:type="dxa"/>
            <w:left w:w="108" w:type="dxa"/>
            <w:bottom w:w="0" w:type="dxa"/>
            <w:right w:w="108" w:type="dxa"/>
          </w:tblCellMar>
        </w:tblPrEx>
        <w:trPr>
          <w:jc w:val="center"/>
        </w:trPr>
        <w:tc>
          <w:tcPr>
            <w:tcW w:w="4981" w:type="dxa"/>
            <w:vAlign w:val="center"/>
          </w:tcPr>
          <w:p>
            <w:pPr>
              <w:widowControl/>
              <w:snapToGrid w:val="0"/>
              <w:spacing w:line="360" w:lineRule="exact"/>
              <w:ind w:firstLine="422" w:firstLineChars="200"/>
              <w:rPr>
                <w:rFonts w:ascii="宋体" w:hAnsi="宋体"/>
                <w:b/>
                <w:color w:val="000000" w:themeColor="text1"/>
                <w:kern w:val="0"/>
                <w:szCs w:val="21"/>
                <w:lang w:val="en-GB"/>
                <w14:textFill>
                  <w14:solidFill>
                    <w14:schemeClr w14:val="tx1"/>
                  </w14:solidFill>
                </w14:textFill>
              </w:rPr>
            </w:pPr>
            <w:r>
              <w:rPr>
                <w:rFonts w:hint="eastAsia" w:ascii="宋体" w:hAnsi="宋体"/>
                <w:b/>
                <w:color w:val="000000" w:themeColor="text1"/>
                <w:kern w:val="0"/>
                <w:szCs w:val="21"/>
                <w:lang w:val="en-GB"/>
                <w14:textFill>
                  <w14:solidFill>
                    <w14:schemeClr w14:val="tx1"/>
                  </w14:solidFill>
                </w14:textFill>
              </w:rPr>
              <w:t>当当网：</w:t>
            </w:r>
            <w:r>
              <w:rPr>
                <w:rFonts w:hint="eastAsia" w:ascii="宋体" w:hAnsi="宋体"/>
                <w:color w:val="000000" w:themeColor="text1"/>
                <w:kern w:val="0"/>
                <w:szCs w:val="21"/>
                <w14:textFill>
                  <w14:solidFill>
                    <w14:schemeClr w14:val="tx1"/>
                  </w14:solidFill>
                </w14:textFill>
              </w:rPr>
              <w:t>北京当当科文电子商务有限公司</w:t>
            </w:r>
          </w:p>
        </w:tc>
        <w:tc>
          <w:tcPr>
            <w:tcW w:w="4981" w:type="dxa"/>
            <w:vAlign w:val="center"/>
          </w:tcPr>
          <w:p>
            <w:pPr>
              <w:widowControl/>
              <w:snapToGrid w:val="0"/>
              <w:spacing w:line="360" w:lineRule="exact"/>
              <w:ind w:firstLine="422" w:firstLineChars="200"/>
              <w:rPr>
                <w:rFonts w:ascii="宋体" w:hAnsi="宋体"/>
                <w:b/>
                <w:color w:val="000000" w:themeColor="text1"/>
                <w:kern w:val="0"/>
                <w:szCs w:val="21"/>
                <w:lang w:val="en-GB"/>
                <w14:textFill>
                  <w14:solidFill>
                    <w14:schemeClr w14:val="tx1"/>
                  </w14:solidFill>
                </w14:textFill>
              </w:rPr>
            </w:pPr>
            <w:r>
              <w:rPr>
                <w:rFonts w:hint="eastAsia" w:ascii="宋体" w:hAnsi="宋体"/>
                <w:b/>
                <w:color w:val="000000" w:themeColor="text1"/>
                <w:kern w:val="0"/>
                <w:szCs w:val="21"/>
                <w:lang w:val="en-GB"/>
                <w14:textFill>
                  <w14:solidFill>
                    <w14:schemeClr w14:val="tx1"/>
                  </w14:solidFill>
                </w14:textFill>
              </w:rPr>
              <w:t>（以下称“当当”）</w:t>
            </w:r>
          </w:p>
        </w:tc>
      </w:tr>
      <w:tr>
        <w:tblPrEx>
          <w:tblCellMar>
            <w:top w:w="0" w:type="dxa"/>
            <w:left w:w="108" w:type="dxa"/>
            <w:bottom w:w="0" w:type="dxa"/>
            <w:right w:w="108" w:type="dxa"/>
          </w:tblCellMar>
        </w:tblPrEx>
        <w:trPr>
          <w:trHeight w:val="195" w:hRule="atLeast"/>
          <w:jc w:val="center"/>
        </w:trPr>
        <w:tc>
          <w:tcPr>
            <w:tcW w:w="4981" w:type="dxa"/>
            <w:vAlign w:val="center"/>
          </w:tcPr>
          <w:p>
            <w:pPr>
              <w:widowControl/>
              <w:snapToGrid w:val="0"/>
              <w:spacing w:line="360" w:lineRule="exact"/>
              <w:ind w:firstLine="422" w:firstLineChars="200"/>
              <w:rPr>
                <w:rFonts w:ascii="宋体" w:hAnsi="宋体"/>
                <w:b/>
                <w:color w:val="000000" w:themeColor="text1"/>
                <w:kern w:val="0"/>
                <w:szCs w:val="21"/>
                <w:lang w:val="en-GB"/>
                <w14:textFill>
                  <w14:solidFill>
                    <w14:schemeClr w14:val="tx1"/>
                  </w14:solidFill>
                </w14:textFill>
              </w:rPr>
            </w:pPr>
            <w:r>
              <w:rPr>
                <w:rFonts w:hint="eastAsia" w:ascii="宋体" w:hAnsi="宋体"/>
                <w:b/>
                <w:color w:val="000000" w:themeColor="text1"/>
                <w:kern w:val="0"/>
                <w:szCs w:val="21"/>
                <w:highlight w:val="yellow"/>
                <w:lang w:val="en-GB"/>
                <w14:textFill>
                  <w14:solidFill>
                    <w14:schemeClr w14:val="tx1"/>
                  </w14:solidFill>
                </w14:textFill>
              </w:rPr>
              <w:t>商  户</w:t>
            </w:r>
            <w:r>
              <w:rPr>
                <w:rFonts w:hint="eastAsia" w:ascii="宋体" w:hAnsi="宋体"/>
                <w:b/>
                <w:color w:val="000000" w:themeColor="text1"/>
                <w:kern w:val="0"/>
                <w:szCs w:val="21"/>
                <w:lang w:val="en-GB"/>
                <w14:textFill>
                  <w14:solidFill>
                    <w14:schemeClr w14:val="tx1"/>
                  </w14:solidFill>
                </w14:textFill>
              </w:rPr>
              <w:t>：</w:t>
            </w:r>
            <w:r>
              <w:rPr>
                <w:rFonts w:hint="eastAsia" w:ascii="宋体" w:hAnsi="宋体"/>
                <w:b/>
                <w:color w:val="000000" w:themeColor="text1"/>
                <w:kern w:val="0"/>
                <w:szCs w:val="21"/>
                <w:lang w:val="en-US" w:eastAsia="zh-CN"/>
                <w14:textFill>
                  <w14:solidFill>
                    <w14:schemeClr w14:val="tx1"/>
                  </w14:solidFill>
                </w14:textFill>
              </w:rPr>
              <w:t>杭州贝咖实业有限公司</w:t>
            </w:r>
            <w:r>
              <w:rPr>
                <w:rFonts w:ascii="宋体" w:hAnsi="宋体"/>
                <w:b/>
                <w:color w:val="000000" w:themeColor="text1"/>
                <w:kern w:val="0"/>
                <w:szCs w:val="21"/>
                <w:lang w:val="en-GB"/>
                <w14:textFill>
                  <w14:solidFill>
                    <w14:schemeClr w14:val="tx1"/>
                  </w14:solidFill>
                </w14:textFill>
              </w:rPr>
              <w:t xml:space="preserve"> </w:t>
            </w:r>
          </w:p>
        </w:tc>
        <w:tc>
          <w:tcPr>
            <w:tcW w:w="4981" w:type="dxa"/>
            <w:vAlign w:val="center"/>
          </w:tcPr>
          <w:p>
            <w:pPr>
              <w:widowControl/>
              <w:snapToGrid w:val="0"/>
              <w:spacing w:line="360" w:lineRule="exact"/>
              <w:ind w:firstLine="422" w:firstLineChars="200"/>
              <w:rPr>
                <w:rFonts w:ascii="宋体" w:hAnsi="宋体"/>
                <w:b/>
                <w:color w:val="000000" w:themeColor="text1"/>
                <w:kern w:val="0"/>
                <w:szCs w:val="21"/>
                <w:lang w:val="en-GB"/>
                <w14:textFill>
                  <w14:solidFill>
                    <w14:schemeClr w14:val="tx1"/>
                  </w14:solidFill>
                </w14:textFill>
              </w:rPr>
            </w:pPr>
            <w:r>
              <w:rPr>
                <w:rFonts w:hint="eastAsia" w:ascii="宋体" w:hAnsi="宋体"/>
                <w:b/>
                <w:color w:val="000000" w:themeColor="text1"/>
                <w:kern w:val="0"/>
                <w:szCs w:val="21"/>
                <w:lang w:val="en-GB"/>
                <w14:textFill>
                  <w14:solidFill>
                    <w14:schemeClr w14:val="tx1"/>
                  </w14:solidFill>
                </w14:textFill>
              </w:rPr>
              <w:t>（以下称“商户”）</w:t>
            </w:r>
          </w:p>
        </w:tc>
      </w:tr>
    </w:tbl>
    <w:p>
      <w:pPr>
        <w:pStyle w:val="32"/>
        <w:spacing w:line="360" w:lineRule="exact"/>
        <w:ind w:left="711" w:firstLine="0" w:firstLineChars="0"/>
        <w:rPr>
          <w:rFonts w:ascii="宋体" w:hAnsi="宋体"/>
          <w:color w:val="000000" w:themeColor="text1"/>
          <w:kern w:val="0"/>
          <w:szCs w:val="21"/>
          <w14:textFill>
            <w14:solidFill>
              <w14:schemeClr w14:val="tx1"/>
            </w14:solidFill>
          </w14:textFill>
        </w:rPr>
      </w:pPr>
    </w:p>
    <w:p>
      <w:pPr>
        <w:pStyle w:val="32"/>
        <w:spacing w:line="360" w:lineRule="exact"/>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双方在自愿、平等、互利的基础上，经友好协商，就双方之间的合作达成如下协议，并愿意在此基础上双方共同遵守，共同发展：</w:t>
      </w:r>
    </w:p>
    <w:p>
      <w:pPr>
        <w:pStyle w:val="3"/>
        <w:spacing w:before="156" w:beforeLines="50" w:after="156" w:afterLines="50" w:line="360" w:lineRule="exact"/>
        <w:ind w:left="0" w:firstLine="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 合作形式</w:t>
      </w:r>
    </w:p>
    <w:p>
      <w:pPr>
        <w:pStyle w:val="32"/>
        <w:widowControl/>
        <w:numPr>
          <w:ilvl w:val="1"/>
          <w:numId w:val="1"/>
        </w:numPr>
        <w:snapToGrid w:val="0"/>
        <w:spacing w:before="93" w:beforeLines="30" w:after="93" w:afterLines="30" w:line="360" w:lineRule="exact"/>
        <w:ind w:left="0" w:firstLine="425" w:firstLineChars="0"/>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定义</w:t>
      </w:r>
    </w:p>
    <w:p>
      <w:pPr>
        <w:pStyle w:val="32"/>
        <w:widowControl/>
        <w:snapToGrid w:val="0"/>
        <w:spacing w:line="360" w:lineRule="exact"/>
        <w:ind w:firstLine="422"/>
        <w:rPr>
          <w:rFonts w:ascii="宋体" w:hAnsi="宋体" w:cs="Calibri"/>
          <w:color w:val="000000" w:themeColor="text1"/>
          <w:kern w:val="0"/>
          <w:szCs w:val="21"/>
          <w14:textFill>
            <w14:solidFill>
              <w14:schemeClr w14:val="tx1"/>
            </w14:solidFill>
          </w14:textFill>
        </w:rPr>
      </w:pPr>
      <w:r>
        <w:rPr>
          <w:rFonts w:hint="eastAsia" w:ascii="宋体" w:hAnsi="宋体" w:cs="Calibri"/>
          <w:b/>
          <w:color w:val="000000" w:themeColor="text1"/>
          <w:szCs w:val="21"/>
          <w14:textFill>
            <w14:solidFill>
              <w14:schemeClr w14:val="tx1"/>
            </w14:solidFill>
          </w14:textFill>
        </w:rPr>
        <w:t>当当：</w:t>
      </w:r>
      <w:r>
        <w:rPr>
          <w:rFonts w:hint="eastAsia" w:ascii="宋体" w:hAnsi="宋体" w:cs="Calibri"/>
          <w:color w:val="000000" w:themeColor="text1"/>
          <w:szCs w:val="21"/>
          <w14:textFill>
            <w14:solidFill>
              <w14:schemeClr w14:val="tx1"/>
            </w14:solidFill>
          </w14:textFill>
        </w:rPr>
        <w:t>指以北京当当科文电子商务有限公司为代表的当当网，本协议及附件中除非另有所指，当当包含了北京当当科文电子商务有限公司及北京当当网信息技术有限公司、无锡当当网信息技术有限公司、无锡当当科文电子商务有限公司、当当网信息技术（天津）有限公司或其他关联公司。北京当当科文电子商务有限公司有权代表当当所有关联公司处理与本协议有关的事宜（如签订、修改、终止本协议、负责财务对账、收取费用、向商户下达指令、向商户发出通知、发布规则等）。</w:t>
      </w:r>
    </w:p>
    <w:p>
      <w:pPr>
        <w:pStyle w:val="32"/>
        <w:widowControl/>
        <w:numPr>
          <w:ilvl w:val="1"/>
          <w:numId w:val="1"/>
        </w:numPr>
        <w:snapToGrid w:val="0"/>
        <w:spacing w:before="93" w:beforeLines="30" w:after="93" w:afterLines="30" w:line="360" w:lineRule="exact"/>
        <w:ind w:left="0" w:firstLine="425" w:firstLineChars="0"/>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当当为商户提供下列资源和服务</w:t>
      </w:r>
    </w:p>
    <w:p>
      <w:pPr>
        <w:widowControl/>
        <w:tabs>
          <w:tab w:val="left" w:pos="0"/>
        </w:tabs>
        <w:snapToGrid w:val="0"/>
        <w:spacing w:line="360" w:lineRule="exact"/>
        <w:ind w:firstLine="420" w:firstLineChars="200"/>
        <w:rPr>
          <w:rFonts w:cs="Calibri" w:asciiTheme="minorEastAsia" w:hAnsiTheme="minorEastAsia" w:eastAsiaTheme="minorEastAsia"/>
          <w:color w:val="000000" w:themeColor="text1"/>
          <w:szCs w:val="21"/>
          <w14:textFill>
            <w14:solidFill>
              <w14:schemeClr w14:val="tx1"/>
            </w14:solidFill>
          </w14:textFill>
        </w:rPr>
      </w:pPr>
      <w:r>
        <w:rPr>
          <w:rFonts w:cs="Calibri" w:asciiTheme="minorEastAsia" w:hAnsiTheme="minorEastAsia" w:eastAsiaTheme="minorEastAsia"/>
          <w:color w:val="000000" w:themeColor="text1"/>
          <w:szCs w:val="21"/>
          <w14:textFill>
            <w14:solidFill>
              <w14:schemeClr w14:val="tx1"/>
            </w14:solidFill>
          </w14:textFill>
        </w:rPr>
        <w:t>①</w:t>
      </w:r>
      <w:r>
        <w:rPr>
          <w:rFonts w:hint="eastAsia" w:cs="Calibri" w:asciiTheme="minorEastAsia" w:hAnsiTheme="minorEastAsia" w:eastAsiaTheme="minorEastAsia"/>
          <w:color w:val="000000" w:themeColor="text1"/>
          <w:szCs w:val="21"/>
          <w14:textFill>
            <w14:solidFill>
              <w14:schemeClr w14:val="tx1"/>
            </w14:solidFill>
          </w14:textFill>
        </w:rPr>
        <w:t>当当平台：指由当当提供互联网信息服务及相关软件、硬件技术支持的电商平台网站（网址为</w:t>
      </w:r>
      <w:r>
        <w:rPr>
          <w:rFonts w:hint="eastAsia" w:asciiTheme="minorEastAsia" w:hAnsiTheme="minorEastAsia" w:eastAsiaTheme="minorEastAsia"/>
          <w:color w:val="000000" w:themeColor="text1"/>
          <w:kern w:val="0"/>
          <w:szCs w:val="21"/>
          <w14:textFill>
            <w14:solidFill>
              <w14:schemeClr w14:val="tx1"/>
            </w14:solidFill>
          </w14:textFill>
        </w:rPr>
        <w:t>www.dangdang.com</w:t>
      </w:r>
      <w:r>
        <w:rPr>
          <w:rFonts w:hint="eastAsia" w:cs="Calibri" w:asciiTheme="minorEastAsia" w:hAnsiTheme="minorEastAsia" w:eastAsiaTheme="minorEastAsia"/>
          <w:color w:val="000000" w:themeColor="text1"/>
          <w:szCs w:val="21"/>
          <w14:textFill>
            <w14:solidFill>
              <w14:schemeClr w14:val="tx1"/>
            </w14:solidFill>
          </w14:textFill>
        </w:rPr>
        <w:t>或当当根据业务需要不时修改的包括计算机或移动设备互联网的URL等）及客户端（如手机APP等）。</w:t>
      </w:r>
    </w:p>
    <w:p>
      <w:pPr>
        <w:widowControl/>
        <w:spacing w:line="360" w:lineRule="exact"/>
        <w:ind w:firstLine="420" w:firstLineChars="200"/>
        <w:jc w:val="left"/>
        <w:rPr>
          <w:rFonts w:cs="Calibri" w:asciiTheme="minorEastAsia" w:hAnsiTheme="minorEastAsia" w:eastAsiaTheme="minorEastAsia"/>
          <w:color w:val="000000" w:themeColor="text1"/>
          <w:szCs w:val="21"/>
          <w14:textFill>
            <w14:solidFill>
              <w14:schemeClr w14:val="tx1"/>
            </w14:solidFill>
          </w14:textFill>
        </w:rPr>
      </w:pPr>
      <w:r>
        <w:rPr>
          <w:rFonts w:cs="Calibri" w:asciiTheme="minorEastAsia" w:hAnsiTheme="minorEastAsia" w:eastAsiaTheme="minorEastAsia"/>
          <w:color w:val="000000" w:themeColor="text1"/>
          <w:szCs w:val="21"/>
          <w14:textFill>
            <w14:solidFill>
              <w14:schemeClr w14:val="tx1"/>
            </w14:solidFill>
          </w14:textFill>
        </w:rPr>
        <w:t>②</w:t>
      </w:r>
      <w:r>
        <w:rPr>
          <w:rFonts w:hint="eastAsia" w:cs="Calibri" w:asciiTheme="minorEastAsia" w:hAnsiTheme="minorEastAsia" w:eastAsiaTheme="minorEastAsia"/>
          <w:color w:val="000000" w:themeColor="text1"/>
          <w:szCs w:val="21"/>
          <w14:textFill>
            <w14:solidFill>
              <w14:schemeClr w14:val="tx1"/>
            </w14:solidFill>
          </w14:textFill>
        </w:rPr>
        <w:t>“商户”指于当当平台经营商品或服务的法律实体。</w:t>
      </w:r>
    </w:p>
    <w:p>
      <w:pPr>
        <w:widowControl/>
        <w:spacing w:line="360" w:lineRule="exact"/>
        <w:ind w:firstLine="420" w:firstLineChars="200"/>
        <w:jc w:val="left"/>
        <w:rPr>
          <w:rFonts w:cs="Calibri" w:asciiTheme="minorEastAsia" w:hAnsiTheme="minorEastAsia" w:eastAsiaTheme="minorEastAsia"/>
          <w:color w:val="000000" w:themeColor="text1"/>
          <w:szCs w:val="21"/>
          <w14:textFill>
            <w14:solidFill>
              <w14:schemeClr w14:val="tx1"/>
            </w14:solidFill>
          </w14:textFill>
        </w:rPr>
      </w:pPr>
      <w:r>
        <w:rPr>
          <w:rFonts w:cs="Calibri" w:asciiTheme="minorEastAsia" w:hAnsiTheme="minorEastAsia" w:eastAsiaTheme="minorEastAsia"/>
          <w:color w:val="000000" w:themeColor="text1"/>
          <w:szCs w:val="21"/>
          <w14:textFill>
            <w14:solidFill>
              <w14:schemeClr w14:val="tx1"/>
            </w14:solidFill>
          </w14:textFill>
        </w:rPr>
        <w:t>③</w:t>
      </w:r>
      <w:r>
        <w:rPr>
          <w:rFonts w:hint="eastAsia" w:cs="Calibri" w:asciiTheme="minorEastAsia" w:hAnsiTheme="minorEastAsia" w:eastAsiaTheme="minorEastAsia"/>
          <w:color w:val="000000" w:themeColor="text1"/>
          <w:szCs w:val="21"/>
          <w14:textFill>
            <w14:solidFill>
              <w14:schemeClr w14:val="tx1"/>
            </w14:solidFill>
          </w14:textFill>
        </w:rPr>
        <w:t>“消费者”指于当当平台进行购物并将所购商品或服务用于消费的任何自然人或组织，亦可称为“买家”“用户”。</w:t>
      </w:r>
    </w:p>
    <w:p>
      <w:pPr>
        <w:widowControl/>
        <w:spacing w:line="360" w:lineRule="exact"/>
        <w:ind w:firstLine="420" w:firstLineChars="200"/>
        <w:jc w:val="left"/>
        <w:rPr>
          <w:rFonts w:cs="Calibri" w:asciiTheme="minorEastAsia" w:hAnsiTheme="minorEastAsia" w:eastAsiaTheme="minorEastAsia"/>
          <w:color w:val="000000" w:themeColor="text1"/>
          <w:szCs w:val="21"/>
          <w14:textFill>
            <w14:solidFill>
              <w14:schemeClr w14:val="tx1"/>
            </w14:solidFill>
          </w14:textFill>
        </w:rPr>
      </w:pPr>
      <w:r>
        <w:rPr>
          <w:rFonts w:cs="Calibri" w:asciiTheme="minorEastAsia" w:hAnsiTheme="minorEastAsia" w:eastAsiaTheme="minorEastAsia"/>
          <w:color w:val="000000" w:themeColor="text1"/>
          <w:szCs w:val="21"/>
          <w14:textFill>
            <w14:solidFill>
              <w14:schemeClr w14:val="tx1"/>
            </w14:solidFill>
          </w14:textFill>
        </w:rPr>
        <w:t>④</w:t>
      </w:r>
      <w:r>
        <w:rPr>
          <w:rFonts w:hint="eastAsia" w:cs="Calibri" w:asciiTheme="minorEastAsia" w:hAnsiTheme="minorEastAsia" w:eastAsiaTheme="minorEastAsia"/>
          <w:color w:val="000000" w:themeColor="text1"/>
          <w:szCs w:val="21"/>
          <w14:textFill>
            <w14:solidFill>
              <w14:schemeClr w14:val="tx1"/>
            </w14:solidFill>
          </w14:textFill>
        </w:rPr>
        <w:t>“规则”指所有当当平台已发布及后续发布的全部规则、实施细则、解读、产品流程说明、公告等。</w:t>
      </w:r>
    </w:p>
    <w:p>
      <w:pPr>
        <w:widowControl/>
        <w:spacing w:line="360" w:lineRule="exact"/>
        <w:ind w:firstLine="420" w:firstLineChars="200"/>
        <w:jc w:val="left"/>
        <w:rPr>
          <w:rFonts w:cs="Calibri" w:asciiTheme="minorEastAsia" w:hAnsiTheme="minorEastAsia" w:eastAsiaTheme="minorEastAsia"/>
          <w:color w:val="000000" w:themeColor="text1"/>
          <w:szCs w:val="21"/>
          <w14:textFill>
            <w14:solidFill>
              <w14:schemeClr w14:val="tx1"/>
            </w14:solidFill>
          </w14:textFill>
        </w:rPr>
      </w:pPr>
      <w:r>
        <w:rPr>
          <w:rFonts w:cs="Calibri" w:asciiTheme="minorEastAsia" w:hAnsiTheme="minorEastAsia" w:eastAsiaTheme="minorEastAsia"/>
          <w:color w:val="000000" w:themeColor="text1"/>
          <w:szCs w:val="21"/>
          <w14:textFill>
            <w14:solidFill>
              <w14:schemeClr w14:val="tx1"/>
            </w14:solidFill>
          </w14:textFill>
        </w:rPr>
        <w:t>⑤</w:t>
      </w:r>
      <w:r>
        <w:rPr>
          <w:rFonts w:hint="eastAsia" w:cs="Calibri" w:asciiTheme="minorEastAsia" w:hAnsiTheme="minorEastAsia" w:eastAsiaTheme="minorEastAsia"/>
          <w:color w:val="000000" w:themeColor="text1"/>
          <w:szCs w:val="21"/>
          <w14:textFill>
            <w14:solidFill>
              <w14:schemeClr w14:val="tx1"/>
            </w14:solidFill>
          </w14:textFill>
        </w:rPr>
        <w:t>“入驻标准”指商户使用当当平台服务须满足的前提条件，如企业注册资本、商标注册情况等要求，具体以附件或当当平台对外公示的相关标准为准。</w:t>
      </w:r>
    </w:p>
    <w:p>
      <w:pPr>
        <w:widowControl/>
        <w:spacing w:line="360" w:lineRule="exact"/>
        <w:ind w:firstLine="420" w:firstLineChars="200"/>
        <w:jc w:val="left"/>
        <w:rPr>
          <w:rFonts w:cs="Calibri" w:asciiTheme="minorEastAsia" w:hAnsiTheme="minorEastAsia" w:eastAsiaTheme="minorEastAsia"/>
          <w:color w:val="000000" w:themeColor="text1"/>
          <w:szCs w:val="21"/>
          <w14:textFill>
            <w14:solidFill>
              <w14:schemeClr w14:val="tx1"/>
            </w14:solidFill>
          </w14:textFill>
        </w:rPr>
      </w:pPr>
      <w:r>
        <w:rPr>
          <w:rFonts w:cs="Calibri" w:asciiTheme="minorEastAsia" w:hAnsiTheme="minorEastAsia" w:eastAsiaTheme="minorEastAsia"/>
          <w:color w:val="000000" w:themeColor="text1"/>
          <w:szCs w:val="21"/>
          <w14:textFill>
            <w14:solidFill>
              <w14:schemeClr w14:val="tx1"/>
            </w14:solidFill>
          </w14:textFill>
        </w:rPr>
        <w:t>⑥</w:t>
      </w:r>
      <w:r>
        <w:rPr>
          <w:rFonts w:hint="eastAsia" w:cs="Calibri" w:asciiTheme="minorEastAsia" w:hAnsiTheme="minorEastAsia" w:eastAsiaTheme="minorEastAsia"/>
          <w:color w:val="000000" w:themeColor="text1"/>
          <w:szCs w:val="21"/>
          <w14:textFill>
            <w14:solidFill>
              <w14:schemeClr w14:val="tx1"/>
            </w14:solidFill>
          </w14:textFill>
        </w:rPr>
        <w:t>“服务”是指</w:t>
      </w:r>
      <w:r>
        <w:rPr>
          <w:rFonts w:hint="eastAsia" w:asciiTheme="minorEastAsia" w:hAnsiTheme="minorEastAsia" w:eastAsiaTheme="minorEastAsia"/>
          <w:color w:val="000000" w:themeColor="text1"/>
          <w:szCs w:val="21"/>
          <w14:textFill>
            <w14:solidFill>
              <w14:schemeClr w14:val="tx1"/>
            </w14:solidFill>
          </w14:textFill>
        </w:rPr>
        <w:t>当当为商户提供的技术服务包括但不限于商品展示系统、商家后台管理系统、商品交易系统、网上支付系统、商家推荐系统、搜索系统、积分软件系统等服务的软件系统及其他技术增值技术服务支持。以当当平台实际提供功能为准。</w:t>
      </w:r>
    </w:p>
    <w:p>
      <w:pPr>
        <w:widowControl/>
        <w:spacing w:line="36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cs="Calibri" w:asciiTheme="minorEastAsia" w:hAnsiTheme="minorEastAsia" w:eastAsiaTheme="minorEastAsia"/>
          <w:color w:val="000000" w:themeColor="text1"/>
          <w:szCs w:val="21"/>
          <w14:textFill>
            <w14:solidFill>
              <w14:schemeClr w14:val="tx1"/>
            </w14:solidFill>
          </w14:textFill>
        </w:rPr>
        <w:t>⑦</w:t>
      </w:r>
      <w:r>
        <w:rPr>
          <w:rFonts w:hint="eastAsia" w:cs="Calibri" w:asciiTheme="minorEastAsia" w:hAnsiTheme="minorEastAsia" w:eastAsiaTheme="minorEastAsia"/>
          <w:color w:val="000000" w:themeColor="text1"/>
          <w:szCs w:val="21"/>
          <w14:textFill>
            <w14:solidFill>
              <w14:schemeClr w14:val="tx1"/>
            </w14:solidFill>
          </w14:textFill>
        </w:rPr>
        <w:t>“服务开通”指商户向当当提交信息、协议签署、费用缴纳后，经当当审查通过，当当允许商户于当当平台开设网络店铺、使用当当服务并对商户进行通知的过程。</w:t>
      </w:r>
    </w:p>
    <w:p>
      <w:pPr>
        <w:widowControl/>
        <w:spacing w:line="360" w:lineRule="exact"/>
        <w:ind w:firstLine="420" w:firstLineChars="200"/>
        <w:jc w:val="left"/>
        <w:rPr>
          <w:rFonts w:cs="Calibri" w:asciiTheme="minorEastAsia" w:hAnsiTheme="minorEastAsia" w:eastAsiaTheme="minorEastAsia"/>
          <w:color w:val="000000" w:themeColor="text1"/>
          <w:szCs w:val="21"/>
          <w14:textFill>
            <w14:solidFill>
              <w14:schemeClr w14:val="tx1"/>
            </w14:solidFill>
          </w14:textFill>
        </w:rPr>
      </w:pPr>
      <w:r>
        <w:rPr>
          <w:rFonts w:cs="Calibri" w:asciiTheme="minorEastAsia" w:hAnsiTheme="minorEastAsia" w:eastAsiaTheme="minorEastAsia"/>
          <w:color w:val="000000" w:themeColor="text1"/>
          <w:kern w:val="0"/>
          <w:szCs w:val="21"/>
          <w14:textFill>
            <w14:solidFill>
              <w14:schemeClr w14:val="tx1"/>
            </w14:solidFill>
          </w14:textFill>
        </w:rPr>
        <w:t>⑧</w:t>
      </w:r>
      <w:r>
        <w:rPr>
          <w:rFonts w:hint="eastAsia" w:cs="宋体" w:asciiTheme="minorEastAsia" w:hAnsiTheme="minorEastAsia" w:eastAsiaTheme="minorEastAsia"/>
          <w:color w:val="000000" w:themeColor="text1"/>
          <w:kern w:val="0"/>
          <w:szCs w:val="21"/>
          <w14:textFill>
            <w14:solidFill>
              <w14:schemeClr w14:val="tx1"/>
            </w14:solidFill>
          </w14:textFill>
        </w:rPr>
        <w:t>“</w:t>
      </w:r>
      <w:r>
        <w:rPr>
          <w:rFonts w:hint="eastAsia" w:cs="Calibri" w:asciiTheme="minorEastAsia" w:hAnsiTheme="minorEastAsia" w:eastAsiaTheme="minorEastAsia"/>
          <w:color w:val="000000" w:themeColor="text1"/>
          <w:szCs w:val="21"/>
          <w14:textFill>
            <w14:solidFill>
              <w14:schemeClr w14:val="tx1"/>
            </w14:solidFill>
          </w14:textFill>
        </w:rPr>
        <w:t>考核标准”指当当为提升消费者体验及平台商户经营能力而从品牌、店铺等多维度针对商户进行经营考核所制定的相关指标等标准。</w:t>
      </w:r>
    </w:p>
    <w:p>
      <w:pPr>
        <w:pStyle w:val="3"/>
        <w:spacing w:before="156" w:beforeLines="50" w:after="156" w:afterLines="50" w:line="360" w:lineRule="exact"/>
        <w:ind w:left="0" w:firstLine="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2.协议范围及效力</w:t>
      </w:r>
    </w:p>
    <w:p>
      <w:pPr>
        <w:widowControl/>
        <w:spacing w:line="360" w:lineRule="exact"/>
        <w:ind w:firstLine="420" w:firstLineChars="200"/>
        <w:jc w:val="left"/>
        <w:rPr>
          <w:rFonts w:ascii="宋体" w:hAnsi="宋体" w:cs="Calibri"/>
          <w:color w:val="000000" w:themeColor="text1"/>
          <w:szCs w:val="21"/>
          <w14:textFill>
            <w14:solidFill>
              <w14:schemeClr w14:val="tx1"/>
            </w14:solidFill>
          </w14:textFill>
        </w:rPr>
      </w:pPr>
      <w:r>
        <w:rPr>
          <w:rFonts w:hint="eastAsia" w:ascii="宋体" w:hAnsi="宋体" w:cs="Calibri"/>
          <w:color w:val="000000" w:themeColor="text1"/>
          <w:szCs w:val="21"/>
          <w14:textFill>
            <w14:solidFill>
              <w14:schemeClr w14:val="tx1"/>
            </w14:solidFill>
          </w14:textFill>
        </w:rPr>
        <w:t>本协议包括协议正文、附件及所有当当平台已发布或将来发布并依法通知商户的各类规则。所有当当平台公布的规则均为本协议不可分割的一部分，与本协议正文具有同等法律效力。</w:t>
      </w:r>
    </w:p>
    <w:p>
      <w:pPr>
        <w:pStyle w:val="32"/>
        <w:widowControl/>
        <w:tabs>
          <w:tab w:val="left" w:pos="1134"/>
        </w:tabs>
        <w:snapToGrid w:val="0"/>
        <w:spacing w:line="360" w:lineRule="exact"/>
        <w:rPr>
          <w:rFonts w:ascii="宋体" w:hAnsi="宋体" w:cs="Calibri"/>
          <w:color w:val="000000" w:themeColor="text1"/>
          <w:szCs w:val="21"/>
          <w14:textFill>
            <w14:solidFill>
              <w14:schemeClr w14:val="tx1"/>
            </w14:solidFill>
          </w14:textFill>
        </w:rPr>
      </w:pPr>
      <w:r>
        <w:rPr>
          <w:rFonts w:hint="eastAsia" w:ascii="宋体" w:hAnsi="宋体" w:cs="Calibri"/>
          <w:color w:val="000000" w:themeColor="text1"/>
          <w:szCs w:val="21"/>
          <w14:textFill>
            <w14:solidFill>
              <w14:schemeClr w14:val="tx1"/>
            </w14:solidFill>
          </w14:textFill>
        </w:rPr>
        <w:t>为不断提升消费者及商户体验、平台服务升级、适应法律法规要求等原因，当当有权随时变更、升级当当平台相关服务及其功能，有权定期或不定期对当当平台进行系统维护，有权在当当平台中开发新的模块、功能和软件或提供其它语种服务，除非当当另有说明，否则变更后的服务等仍适用本协议。当当在行使前述权利时，将通过在平台公示或其他征求意见的方式通知商户。</w:t>
      </w:r>
    </w:p>
    <w:p>
      <w:pPr>
        <w:pStyle w:val="32"/>
        <w:widowControl/>
        <w:tabs>
          <w:tab w:val="left" w:pos="1134"/>
        </w:tabs>
        <w:snapToGrid w:val="0"/>
        <w:spacing w:line="360" w:lineRule="exact"/>
        <w:rPr>
          <w:rFonts w:ascii="宋体" w:hAnsi="宋体" w:cs="Calibri"/>
          <w:color w:val="000000" w:themeColor="text1"/>
          <w:szCs w:val="21"/>
          <w14:textFill>
            <w14:solidFill>
              <w14:schemeClr w14:val="tx1"/>
            </w14:solidFill>
          </w14:textFill>
        </w:rPr>
      </w:pPr>
      <w:r>
        <w:rPr>
          <w:rFonts w:hint="eastAsia" w:ascii="宋体" w:hAnsi="宋体" w:cs="Calibri"/>
          <w:color w:val="000000" w:themeColor="text1"/>
          <w:szCs w:val="21"/>
          <w14:textFill>
            <w14:solidFill>
              <w14:schemeClr w14:val="tx1"/>
            </w14:solidFill>
          </w14:textFill>
        </w:rPr>
        <w:t>当当有权根据需要不时地制定、修改当当平台的使用规则，如规则发生变更，当当将在当当平台上以公示形式或</w:t>
      </w:r>
      <w:r>
        <w:rPr>
          <w:rFonts w:ascii="宋体" w:hAnsi="宋体" w:cs="Calibri"/>
          <w:color w:val="000000" w:themeColor="text1"/>
          <w:szCs w:val="21"/>
          <w14:textFill>
            <w14:solidFill>
              <w14:schemeClr w14:val="tx1"/>
            </w14:solidFill>
          </w14:textFill>
        </w:rPr>
        <w:t>其他方式</w:t>
      </w:r>
      <w:r>
        <w:rPr>
          <w:rFonts w:hint="eastAsia" w:ascii="宋体" w:hAnsi="宋体" w:cs="Calibri"/>
          <w:color w:val="000000" w:themeColor="text1"/>
          <w:szCs w:val="21"/>
          <w14:textFill>
            <w14:solidFill>
              <w14:schemeClr w14:val="tx1"/>
            </w14:solidFill>
          </w14:textFill>
        </w:rPr>
        <w:t>通知商户。商户应随时关注当当平台的公示内容，同意当当一经公示各规则的变更等事项，即视为当当已履行完毕通知义务。如有异议，商户应在公示后7日内以书面形式通知当当并暂停使用当当资源和服务，并自愿接受当当就是否终止合作和如何继续履行协议的决定；如商户继续使用当当交易平台或未在7日内书面通知当当异议内容的，视为商户完全接受交易平台规则的变更等，并认可该变更作为本协议的一部分。</w:t>
      </w:r>
    </w:p>
    <w:p>
      <w:pPr>
        <w:pStyle w:val="32"/>
        <w:widowControl/>
        <w:tabs>
          <w:tab w:val="left" w:pos="1134"/>
        </w:tabs>
        <w:snapToGrid w:val="0"/>
        <w:spacing w:line="360" w:lineRule="exact"/>
        <w:rPr>
          <w:rFonts w:ascii="宋体" w:hAnsi="宋体" w:cs="Calibri"/>
          <w:color w:val="000000" w:themeColor="text1"/>
          <w:szCs w:val="21"/>
          <w14:textFill>
            <w14:solidFill>
              <w14:schemeClr w14:val="tx1"/>
            </w14:solidFill>
          </w14:textFill>
        </w:rPr>
      </w:pPr>
      <w:r>
        <w:rPr>
          <w:rFonts w:hint="eastAsia" w:ascii="宋体" w:hAnsi="宋体" w:cs="Calibri"/>
          <w:color w:val="000000" w:themeColor="text1"/>
          <w:szCs w:val="21"/>
          <w14:textFill>
            <w14:solidFill>
              <w14:schemeClr w14:val="tx1"/>
            </w14:solidFill>
          </w14:textFill>
        </w:rPr>
        <w:t>除另行声明或签署协议外，当当平台任何基于提升消费者及商户体验、平台服务升级等目的所扩大的服务范围或软件功能的增强均受本协议的约束。</w:t>
      </w:r>
    </w:p>
    <w:p>
      <w:pPr>
        <w:pStyle w:val="3"/>
        <w:spacing w:before="156" w:beforeLines="50" w:after="156" w:afterLines="50" w:line="360" w:lineRule="exact"/>
        <w:ind w:left="0" w:firstLine="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3.账户使用及信息提交</w:t>
      </w:r>
    </w:p>
    <w:p>
      <w:pPr>
        <w:widowControl/>
        <w:spacing w:line="360" w:lineRule="exact"/>
        <w:ind w:firstLine="420" w:firstLineChars="200"/>
        <w:jc w:val="left"/>
        <w:rPr>
          <w:rFonts w:ascii="宋体" w:hAnsi="宋体" w:cs="Calibri"/>
          <w:color w:val="000000" w:themeColor="text1"/>
          <w:szCs w:val="21"/>
          <w14:textFill>
            <w14:solidFill>
              <w14:schemeClr w14:val="tx1"/>
            </w14:solidFill>
          </w14:textFill>
        </w:rPr>
      </w:pPr>
      <w:r>
        <w:rPr>
          <w:rFonts w:hint="eastAsia" w:ascii="宋体" w:hAnsi="宋体" w:cs="Calibri"/>
          <w:color w:val="000000" w:themeColor="text1"/>
          <w:szCs w:val="21"/>
          <w14:textFill>
            <w14:solidFill>
              <w14:schemeClr w14:val="tx1"/>
            </w14:solidFill>
          </w14:textFill>
        </w:rPr>
        <w:t>3.1 商户完成商家注册流程后，将获得在使用服务时必须与自设密码共同使用的“商家用户名”。商户应妥善保管用户名及密码信息，不得擅自转让或授权、赠与他人使用，并对利用该用户名和密码所进行的一切活动负全部责任。通过账户完成的行为均视为商户行为或已获得商户充分授权。商户承诺，商户的密码和用户名遭到未获授权的使用，或者发生其他任何安全问题时，将立即通知当当。</w:t>
      </w:r>
    </w:p>
    <w:p>
      <w:pPr>
        <w:spacing w:line="360" w:lineRule="exact"/>
        <w:ind w:firstLine="420" w:firstLineChars="200"/>
        <w:rPr>
          <w:rFonts w:ascii="宋体" w:hAnsi="宋体" w:cs="Calibri"/>
          <w:color w:val="000000" w:themeColor="text1"/>
          <w:szCs w:val="21"/>
          <w14:textFill>
            <w14:solidFill>
              <w14:schemeClr w14:val="tx1"/>
            </w14:solidFill>
          </w14:textFill>
        </w:rPr>
      </w:pPr>
      <w:r>
        <w:rPr>
          <w:rFonts w:hint="eastAsia" w:ascii="宋体" w:hAnsi="宋体" w:cs="Calibri"/>
          <w:color w:val="000000" w:themeColor="text1"/>
          <w:szCs w:val="21"/>
          <w14:textFill>
            <w14:solidFill>
              <w14:schemeClr w14:val="tx1"/>
            </w14:solidFill>
          </w14:textFill>
        </w:rPr>
        <w:t>3.2 商户应为依据中华人民共和国法律注册成立并有效存续的企业法人或其他组织，在签订协议时应向当当提供本协议附件所列或当当平台公示的合法有效的资质证明文件，附件未列或当当平台未公示而依据国家相关规定需要提供的其他资质证明文件，商户亦应一并提交。如商户提供虚假、失效文件、提供文件不及时或资质发生变更未及时更新等，商户应承担由此产生的法律责任，且当当有权随时解除协议。基于相关法律法规、平台管理等要求，商户同意当当可对商户信息和证明文件进行不定时抽查并就前述目的要求商户提交更多信息或证明文件。商户了解并认可当当仅以大众一般认知水平对商户信息、证明文件及经营权限开通申请进行审查，除法律另有规定外，当当对商户因信赖审查结果而造成的损失不承担责任。</w:t>
      </w:r>
    </w:p>
    <w:p>
      <w:pPr>
        <w:pStyle w:val="3"/>
        <w:spacing w:before="156" w:beforeLines="50" w:after="156" w:afterLines="50" w:line="360" w:lineRule="exact"/>
        <w:ind w:left="0" w:firstLine="0"/>
        <w:jc w:val="left"/>
        <w:rPr>
          <w:color w:val="000000" w:themeColor="text1"/>
          <w:kern w:val="2"/>
          <w:sz w:val="21"/>
          <w14:textFill>
            <w14:solidFill>
              <w14:schemeClr w14:val="tx1"/>
            </w14:solidFill>
          </w14:textFill>
        </w:rPr>
      </w:pPr>
      <w:r>
        <w:rPr>
          <w:rFonts w:hint="eastAsia"/>
          <w:color w:val="000000" w:themeColor="text1"/>
          <w:sz w:val="21"/>
          <w:szCs w:val="21"/>
          <w14:textFill>
            <w14:solidFill>
              <w14:schemeClr w14:val="tx1"/>
            </w14:solidFill>
          </w14:textFill>
        </w:rPr>
        <w:t>4.服务的开通</w:t>
      </w:r>
    </w:p>
    <w:p>
      <w:pPr>
        <w:widowControl/>
        <w:spacing w:line="360" w:lineRule="exact"/>
        <w:ind w:firstLine="420" w:firstLineChars="200"/>
        <w:jc w:val="left"/>
        <w:rPr>
          <w:rFonts w:ascii="宋体" w:hAnsi="宋体" w:cs="Calibri"/>
          <w:color w:val="000000" w:themeColor="text1"/>
          <w:szCs w:val="21"/>
          <w14:textFill>
            <w14:solidFill>
              <w14:schemeClr w14:val="tx1"/>
            </w14:solidFill>
          </w14:textFill>
        </w:rPr>
      </w:pPr>
      <w:r>
        <w:rPr>
          <w:rFonts w:hint="eastAsia" w:ascii="宋体" w:hAnsi="宋体" w:cs="Calibri"/>
          <w:color w:val="000000" w:themeColor="text1"/>
          <w:szCs w:val="21"/>
          <w14:textFill>
            <w14:solidFill>
              <w14:schemeClr w14:val="tx1"/>
            </w14:solidFill>
          </w14:textFill>
        </w:rPr>
        <w:t>4.1 服务将在以下条件均满足后的十四（14）个工作日内开通：</w:t>
      </w:r>
    </w:p>
    <w:p>
      <w:pPr>
        <w:widowControl/>
        <w:spacing w:line="360" w:lineRule="exact"/>
        <w:ind w:firstLine="420" w:firstLineChars="200"/>
        <w:jc w:val="left"/>
        <w:rPr>
          <w:rFonts w:ascii="宋体" w:hAnsi="宋体" w:cs="Calibri"/>
          <w:color w:val="000000" w:themeColor="text1"/>
          <w:szCs w:val="21"/>
          <w14:textFill>
            <w14:solidFill>
              <w14:schemeClr w14:val="tx1"/>
            </w14:solidFill>
          </w14:textFill>
        </w:rPr>
      </w:pPr>
      <w:r>
        <w:rPr>
          <w:rFonts w:hint="eastAsia" w:ascii="宋体" w:hAnsi="宋体" w:cs="Calibri"/>
          <w:color w:val="000000" w:themeColor="text1"/>
          <w:szCs w:val="21"/>
          <w14:textFill>
            <w14:solidFill>
              <w14:schemeClr w14:val="tx1"/>
            </w14:solidFill>
          </w14:textFill>
        </w:rPr>
        <w:t>4.1.1 商户符合当前的入驻标准，向当当提交信息后经当当审查通过；</w:t>
      </w:r>
    </w:p>
    <w:p>
      <w:pPr>
        <w:widowControl/>
        <w:spacing w:line="360" w:lineRule="exact"/>
        <w:ind w:firstLine="420" w:firstLineChars="200"/>
        <w:jc w:val="left"/>
        <w:rPr>
          <w:rFonts w:ascii="宋体" w:hAnsi="宋体" w:cs="Calibri"/>
          <w:color w:val="000000" w:themeColor="text1"/>
          <w:szCs w:val="21"/>
          <w14:textFill>
            <w14:solidFill>
              <w14:schemeClr w14:val="tx1"/>
            </w14:solidFill>
          </w14:textFill>
        </w:rPr>
      </w:pPr>
      <w:r>
        <w:rPr>
          <w:rFonts w:hint="eastAsia" w:ascii="宋体" w:hAnsi="宋体" w:cs="Calibri"/>
          <w:color w:val="000000" w:themeColor="text1"/>
          <w:szCs w:val="21"/>
          <w14:textFill>
            <w14:solidFill>
              <w14:schemeClr w14:val="tx1"/>
            </w14:solidFill>
          </w14:textFill>
        </w:rPr>
        <w:t>4.1.2 商户与当当签订本协议及相关附件；</w:t>
      </w:r>
      <w:r>
        <w:rPr>
          <w:rFonts w:ascii="宋体" w:hAnsi="宋体" w:cs="Calibri"/>
          <w:color w:val="000000" w:themeColor="text1"/>
          <w:szCs w:val="21"/>
          <w14:textFill>
            <w14:solidFill>
              <w14:schemeClr w14:val="tx1"/>
            </w14:solidFill>
          </w14:textFill>
        </w:rPr>
        <w:t xml:space="preserve"> </w:t>
      </w:r>
    </w:p>
    <w:p>
      <w:pPr>
        <w:widowControl/>
        <w:spacing w:line="360" w:lineRule="exact"/>
        <w:ind w:firstLine="420" w:firstLineChars="200"/>
        <w:jc w:val="left"/>
        <w:rPr>
          <w:rFonts w:ascii="宋体" w:hAnsi="宋体" w:cs="Calibri"/>
          <w:color w:val="000000" w:themeColor="text1"/>
          <w:szCs w:val="21"/>
          <w14:textFill>
            <w14:solidFill>
              <w14:schemeClr w14:val="tx1"/>
            </w14:solidFill>
          </w14:textFill>
        </w:rPr>
      </w:pPr>
      <w:r>
        <w:rPr>
          <w:rFonts w:hint="eastAsia" w:ascii="宋体" w:hAnsi="宋体" w:cs="Calibri"/>
          <w:color w:val="000000" w:themeColor="text1"/>
          <w:szCs w:val="21"/>
          <w14:textFill>
            <w14:solidFill>
              <w14:schemeClr w14:val="tx1"/>
            </w14:solidFill>
          </w14:textFill>
        </w:rPr>
        <w:t>4.1.3 商户向当当支付消费者</w:t>
      </w:r>
      <w:r>
        <w:rPr>
          <w:rFonts w:ascii="宋体" w:hAnsi="宋体" w:cs="Calibri"/>
          <w:color w:val="000000" w:themeColor="text1"/>
          <w:szCs w:val="21"/>
          <w14:textFill>
            <w14:solidFill>
              <w14:schemeClr w14:val="tx1"/>
            </w14:solidFill>
          </w14:textFill>
        </w:rPr>
        <w:t>权益</w:t>
      </w:r>
      <w:r>
        <w:rPr>
          <w:rFonts w:hint="eastAsia" w:ascii="宋体" w:hAnsi="宋体" w:cs="Calibri"/>
          <w:color w:val="000000" w:themeColor="text1"/>
          <w:szCs w:val="21"/>
          <w14:textFill>
            <w14:solidFill>
              <w14:schemeClr w14:val="tx1"/>
            </w14:solidFill>
          </w14:textFill>
        </w:rPr>
        <w:t>保证金及技术服务年费；</w:t>
      </w:r>
      <w:r>
        <w:rPr>
          <w:rFonts w:ascii="宋体" w:hAnsi="宋体" w:cs="Calibri"/>
          <w:color w:val="000000" w:themeColor="text1"/>
          <w:szCs w:val="21"/>
          <w14:textFill>
            <w14:solidFill>
              <w14:schemeClr w14:val="tx1"/>
            </w14:solidFill>
          </w14:textFill>
        </w:rPr>
        <w:t xml:space="preserve"> </w:t>
      </w:r>
    </w:p>
    <w:p>
      <w:pPr>
        <w:widowControl/>
        <w:spacing w:line="360" w:lineRule="exact"/>
        <w:ind w:firstLine="420" w:firstLineChars="200"/>
        <w:jc w:val="left"/>
        <w:rPr>
          <w:rFonts w:ascii="宋体" w:hAnsi="宋体" w:cs="Calibri"/>
          <w:color w:val="000000" w:themeColor="text1"/>
          <w:szCs w:val="21"/>
          <w14:textFill>
            <w14:solidFill>
              <w14:schemeClr w14:val="tx1"/>
            </w14:solidFill>
          </w14:textFill>
        </w:rPr>
      </w:pPr>
      <w:r>
        <w:rPr>
          <w:rFonts w:hint="eastAsia" w:ascii="宋体" w:hAnsi="宋体" w:cs="Calibri"/>
          <w:color w:val="000000" w:themeColor="text1"/>
          <w:szCs w:val="21"/>
          <w14:textFill>
            <w14:solidFill>
              <w14:schemeClr w14:val="tx1"/>
            </w14:solidFill>
          </w14:textFill>
        </w:rPr>
        <w:t>4.1.4在申请使用服务之前商户没有发生过被当当终止合作、违反与当当的协议的情形；</w:t>
      </w:r>
    </w:p>
    <w:p>
      <w:pPr>
        <w:widowControl/>
        <w:spacing w:line="360" w:lineRule="exact"/>
        <w:ind w:firstLine="420" w:firstLineChars="200"/>
        <w:jc w:val="left"/>
        <w:rPr>
          <w:rFonts w:ascii="宋体" w:hAnsi="宋体"/>
          <w:b/>
          <w:color w:val="000000" w:themeColor="text1"/>
          <w:kern w:val="0"/>
          <w:szCs w:val="21"/>
          <w14:textFill>
            <w14:solidFill>
              <w14:schemeClr w14:val="tx1"/>
            </w14:solidFill>
          </w14:textFill>
        </w:rPr>
      </w:pPr>
      <w:r>
        <w:rPr>
          <w:rFonts w:hint="eastAsia" w:ascii="宋体" w:hAnsi="宋体" w:cs="Calibri"/>
          <w:color w:val="000000" w:themeColor="text1"/>
          <w:szCs w:val="21"/>
          <w14:textFill>
            <w14:solidFill>
              <w14:schemeClr w14:val="tx1"/>
            </w14:solidFill>
          </w14:textFill>
        </w:rPr>
        <w:t>4.1.5当当已向商户发出服务开通通知。</w:t>
      </w:r>
    </w:p>
    <w:p>
      <w:pPr>
        <w:pStyle w:val="3"/>
        <w:spacing w:before="156" w:beforeLines="50" w:after="156" w:afterLines="50" w:line="360" w:lineRule="exact"/>
        <w:ind w:left="0" w:firstLine="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5. 消费者权益保证金</w:t>
      </w:r>
    </w:p>
    <w:p>
      <w:pPr>
        <w:widowControl/>
        <w:snapToGrid w:val="0"/>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商户在签订本协议后7日向当当支付消费者权益保证金人民币大</w:t>
      </w:r>
      <w:r>
        <w:rPr>
          <w:rFonts w:hint="eastAsia" w:ascii="宋体" w:hAnsi="宋体"/>
          <w:color w:val="000000" w:themeColor="text1"/>
          <w:szCs w:val="21"/>
          <w:highlight w:val="yellow"/>
          <w14:textFill>
            <w14:solidFill>
              <w14:schemeClr w14:val="tx1"/>
            </w14:solidFill>
          </w14:textFill>
        </w:rPr>
        <w:t>写___壹万 ___元</w:t>
      </w:r>
      <w:r>
        <w:rPr>
          <w:rFonts w:hint="eastAsia" w:ascii="宋体" w:hAnsi="宋体"/>
          <w:color w:val="000000" w:themeColor="text1"/>
          <w:szCs w:val="21"/>
          <w14:textFill>
            <w14:solidFill>
              <w14:schemeClr w14:val="tx1"/>
            </w14:solidFill>
          </w14:textFill>
        </w:rPr>
        <w:t>。协议终止后，如商户未发生违约行为，且未因违反国家法律法规而致使当当遭受国家有关机关处罚、裁决、赔偿等损失，商户可向当当提出书面清户申请，当当审核通过后三个月内将保证金余额归还商户，商户同意该保证金不计算任何利息。</w:t>
      </w:r>
    </w:p>
    <w:p>
      <w:pPr>
        <w:widowControl/>
        <w:snapToGrid w:val="0"/>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如商户无故停止经营，当当有权根据商户违约情形扣除部分或全部保证金。当当扣划保证金后，商户应在接到当当通知后三日内补齐，否则，当当有权自商户在当当账户中的款项进行扣划。</w:t>
      </w:r>
    </w:p>
    <w:p>
      <w:pPr>
        <w:pStyle w:val="3"/>
        <w:spacing w:before="156" w:beforeLines="50" w:after="156" w:afterLines="50" w:line="360" w:lineRule="exact"/>
        <w:ind w:left="0" w:firstLine="0"/>
        <w:jc w:val="left"/>
        <w:rPr>
          <w:rFonts w:ascii="微软雅黑" w:hAnsi="微软雅黑" w:eastAsia="微软雅黑"/>
          <w:color w:val="000000" w:themeColor="text1"/>
          <w:sz w:val="27"/>
          <w:szCs w:val="27"/>
          <w14:textFill>
            <w14:solidFill>
              <w14:schemeClr w14:val="tx1"/>
            </w14:solidFill>
          </w14:textFill>
        </w:rPr>
      </w:pPr>
      <w:r>
        <w:rPr>
          <w:rFonts w:hint="eastAsia"/>
          <w:color w:val="000000" w:themeColor="text1"/>
          <w:sz w:val="21"/>
          <w:szCs w:val="21"/>
          <w14:textFill>
            <w14:solidFill>
              <w14:schemeClr w14:val="tx1"/>
            </w14:solidFill>
          </w14:textFill>
        </w:rPr>
        <w:t>6.技术服务费</w:t>
      </w:r>
    </w:p>
    <w:p>
      <w:pPr>
        <w:widowControl/>
        <w:spacing w:before="93" w:beforeLines="30" w:after="93" w:afterLines="30" w:line="320" w:lineRule="atLeast"/>
        <w:ind w:firstLine="422" w:firstLineChars="200"/>
        <w:jc w:val="left"/>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6.1 费用组成</w:t>
      </w:r>
    </w:p>
    <w:p>
      <w:pPr>
        <w:widowControl/>
        <w:spacing w:line="36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当当向商户收取的技术服务费由年费和实时划扣费用两部分组成。当当可以根据电子商务平台系统升级服务调整技术服务费标准。</w:t>
      </w:r>
    </w:p>
    <w:p>
      <w:pPr>
        <w:widowControl/>
        <w:spacing w:before="93" w:beforeLines="30" w:after="93" w:afterLines="30" w:line="320" w:lineRule="atLeast"/>
        <w:ind w:firstLine="422" w:firstLineChars="200"/>
        <w:jc w:val="left"/>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6.2技术服务年费</w:t>
      </w:r>
    </w:p>
    <w:p>
      <w:pPr>
        <w:widowControl/>
        <w:spacing w:line="36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yellow"/>
          <w14:textFill>
            <w14:solidFill>
              <w14:schemeClr w14:val="tx1"/>
            </w14:solidFill>
          </w14:textFill>
        </w:rPr>
        <w:t>除本协议另行签署协议外，技术服务年费为人民币</w:t>
      </w:r>
      <w:r>
        <w:rPr>
          <w:rFonts w:hint="eastAsia" w:ascii="宋体" w:hAnsi="宋体"/>
          <w:color w:val="000000" w:themeColor="text1"/>
          <w:szCs w:val="21"/>
          <w:highlight w:val="yellow"/>
          <w:u w:val="single"/>
          <w14:textFill>
            <w14:solidFill>
              <w14:schemeClr w14:val="tx1"/>
            </w14:solidFill>
          </w14:textFill>
        </w:rPr>
        <w:t xml:space="preserve"> 陆仟零玖拾陆 </w:t>
      </w:r>
      <w:r>
        <w:rPr>
          <w:rFonts w:hint="eastAsia" w:ascii="宋体" w:hAnsi="宋体"/>
          <w:color w:val="000000" w:themeColor="text1"/>
          <w:szCs w:val="21"/>
          <w:highlight w:val="yellow"/>
          <w14:textFill>
            <w14:solidFill>
              <w14:schemeClr w14:val="tx1"/>
            </w14:solidFill>
          </w14:textFill>
        </w:rPr>
        <w:t>元/年，其中包含发票邮寄费用为人民币大写</w:t>
      </w:r>
      <w:r>
        <w:rPr>
          <w:rFonts w:hint="eastAsia" w:ascii="宋体" w:hAnsi="宋体"/>
          <w:color w:val="000000" w:themeColor="text1"/>
          <w:szCs w:val="21"/>
          <w:highlight w:val="yellow"/>
          <w:u w:val="single"/>
          <w14:textFill>
            <w14:solidFill>
              <w14:schemeClr w14:val="tx1"/>
            </w14:solidFill>
          </w14:textFill>
        </w:rPr>
        <w:t xml:space="preserve">   玖拾陆   </w:t>
      </w:r>
      <w:r>
        <w:rPr>
          <w:rFonts w:hint="eastAsia" w:ascii="宋体" w:hAnsi="宋体"/>
          <w:color w:val="000000" w:themeColor="text1"/>
          <w:szCs w:val="21"/>
          <w:highlight w:val="yellow"/>
          <w14:textFill>
            <w14:solidFill>
              <w14:schemeClr w14:val="tx1"/>
            </w14:solidFill>
          </w14:textFill>
        </w:rPr>
        <w:t>元/年。商户首次技术服务年费须于本协议生效后7日内交付当当，此后每年应在协议到期前15日内足额交付。除本协议另有约定外，商户提前解约、终止合作等，上述费用均不予返还</w:t>
      </w:r>
      <w:r>
        <w:rPr>
          <w:rFonts w:hint="eastAsia" w:ascii="宋体" w:hAnsi="宋体"/>
          <w:color w:val="000000" w:themeColor="text1"/>
          <w:szCs w:val="21"/>
          <w14:textFill>
            <w14:solidFill>
              <w14:schemeClr w14:val="tx1"/>
            </w14:solidFill>
          </w14:textFill>
        </w:rPr>
        <w:t>。</w:t>
      </w:r>
    </w:p>
    <w:p>
      <w:pPr>
        <w:widowControl/>
        <w:spacing w:before="93" w:beforeLines="30" w:after="93" w:afterLines="30" w:line="320" w:lineRule="atLeast"/>
        <w:ind w:firstLine="422" w:firstLineChars="200"/>
        <w:jc w:val="left"/>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6.3技术服务实时扣划费用</w:t>
      </w:r>
    </w:p>
    <w:p>
      <w:pPr>
        <w:widowControl/>
        <w:spacing w:before="93" w:beforeLines="30" w:after="93" w:afterLines="30" w:line="360" w:lineRule="exact"/>
        <w:ind w:firstLine="422" w:firstLineChars="200"/>
        <w:jc w:val="left"/>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技术服务实时扣划费用包含基础技术服务实时扣划费用和增值技术服务实时扣划费用。商户可根据实际情况选择是否需要当当提供增值技术服务。</w:t>
      </w:r>
    </w:p>
    <w:p>
      <w:pPr>
        <w:widowControl/>
        <w:spacing w:line="36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实时扣划部分以商品交易额为基数（以当当平台记录的交易额为准），每个结算周期当当有权以技术服务费费率实时结算。</w:t>
      </w:r>
    </w:p>
    <w:p>
      <w:pPr>
        <w:widowControl/>
        <w:spacing w:before="156" w:beforeLines="50" w:after="156" w:afterLines="50" w:line="360" w:lineRule="exact"/>
        <w:ind w:firstLine="422" w:firstLineChars="200"/>
        <w:jc w:val="lef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6.3.1基础技术服务</w:t>
      </w:r>
    </w:p>
    <w:p>
      <w:pPr>
        <w:widowControl/>
        <w:spacing w:before="156" w:beforeLines="50" w:after="156" w:afterLines="50" w:line="36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6.3.1.1</w:t>
      </w:r>
    </w:p>
    <w:p>
      <w:pPr>
        <w:widowControl/>
        <w:spacing w:before="156" w:beforeLines="50" w:after="156" w:afterLines="50" w:line="36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①</w:t>
      </w:r>
      <w:r>
        <w:rPr>
          <w:rFonts w:hint="eastAsia" w:ascii="宋体" w:hAnsi="宋体"/>
          <w:color w:val="000000" w:themeColor="text1"/>
          <w:szCs w:val="21"/>
          <w14:textFill>
            <w14:solidFill>
              <w14:schemeClr w14:val="tx1"/>
            </w14:solidFill>
          </w14:textFill>
        </w:rPr>
        <w:t>商家后台系统</w:t>
      </w:r>
    </w:p>
    <w:p>
      <w:pPr>
        <w:widowControl/>
        <w:spacing w:line="36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在商户入驻当当平台后，当当向商户提供账号管理，当当提供商户对子账号进行管理和权限分配，权限可以控制到按钮级别。</w:t>
      </w:r>
    </w:p>
    <w:p>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当当为商户提供标准上传模板，商户可批量上传商品，保证商品信息的展示标准化和购买者的浏览便捷性。同时当当通过技术手段进行新品审核及敏感词审核。但是当当对商户新品审核及敏感词审核并不视为当当对商户商品或商品信息等合法性、合理性的保证。</w:t>
      </w:r>
    </w:p>
    <w:p>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当当为商户提供运营数据监控，商户可</w:t>
      </w:r>
      <w:r>
        <w:rPr>
          <w:rFonts w:ascii="宋体" w:hAnsi="宋体"/>
          <w:color w:val="000000" w:themeColor="text1"/>
          <w:szCs w:val="21"/>
          <w14:textFill>
            <w14:solidFill>
              <w14:schemeClr w14:val="tx1"/>
            </w14:solidFill>
          </w14:textFill>
        </w:rPr>
        <w:t>基于数据</w:t>
      </w:r>
      <w:r>
        <w:rPr>
          <w:rFonts w:hint="eastAsia" w:ascii="宋体" w:hAnsi="宋体"/>
          <w:color w:val="000000" w:themeColor="text1"/>
          <w:szCs w:val="21"/>
          <w14:textFill>
            <w14:solidFill>
              <w14:schemeClr w14:val="tx1"/>
            </w14:solidFill>
          </w14:textFill>
        </w:rPr>
        <w:t>报表</w:t>
      </w:r>
      <w:r>
        <w:rPr>
          <w:rFonts w:ascii="宋体" w:hAnsi="宋体"/>
          <w:color w:val="000000" w:themeColor="text1"/>
          <w:szCs w:val="21"/>
          <w14:textFill>
            <w14:solidFill>
              <w14:schemeClr w14:val="tx1"/>
            </w14:solidFill>
          </w14:textFill>
        </w:rPr>
        <w:t>,进行运营决策</w:t>
      </w:r>
      <w:r>
        <w:rPr>
          <w:rFonts w:hint="eastAsia" w:ascii="宋体" w:hAnsi="宋体"/>
          <w:color w:val="000000" w:themeColor="text1"/>
          <w:szCs w:val="21"/>
          <w14:textFill>
            <w14:solidFill>
              <w14:schemeClr w14:val="tx1"/>
            </w14:solidFill>
          </w14:textFill>
        </w:rPr>
        <w:t>。</w:t>
      </w:r>
    </w:p>
    <w:p>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当当为商户店铺提供商品评论功能。消费者可对商家商品本身、购买和使用体验做出评论。通过为消费者提供优化排序后的商品评论，帮助消费者做出购买决策。</w:t>
      </w:r>
    </w:p>
    <w:p>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当当为商户提供多模式订单管理系统。使</w:t>
      </w:r>
      <w:r>
        <w:rPr>
          <w:rFonts w:ascii="宋体" w:hAnsi="宋体"/>
          <w:color w:val="000000" w:themeColor="text1"/>
          <w:szCs w:val="21"/>
          <w14:textFill>
            <w14:solidFill>
              <w14:schemeClr w14:val="tx1"/>
            </w14:solidFill>
          </w14:textFill>
        </w:rPr>
        <w:t>物流服务透明化，</w:t>
      </w:r>
      <w:r>
        <w:rPr>
          <w:rFonts w:hint="eastAsia" w:ascii="宋体" w:hAnsi="宋体"/>
          <w:color w:val="000000" w:themeColor="text1"/>
          <w:szCs w:val="21"/>
          <w14:textFill>
            <w14:solidFill>
              <w14:schemeClr w14:val="tx1"/>
            </w14:solidFill>
          </w14:textFill>
        </w:rPr>
        <w:t>物流过程</w:t>
      </w:r>
      <w:r>
        <w:rPr>
          <w:rFonts w:ascii="宋体" w:hAnsi="宋体"/>
          <w:color w:val="000000" w:themeColor="text1"/>
          <w:szCs w:val="21"/>
          <w14:textFill>
            <w14:solidFill>
              <w14:schemeClr w14:val="tx1"/>
            </w14:solidFill>
          </w14:textFill>
        </w:rPr>
        <w:t>全过程可监控，减少物流延迟，提高物流服务效率</w:t>
      </w:r>
      <w:r>
        <w:rPr>
          <w:rFonts w:hint="eastAsia" w:ascii="宋体" w:hAnsi="宋体"/>
          <w:color w:val="000000" w:themeColor="text1"/>
          <w:szCs w:val="21"/>
          <w14:textFill>
            <w14:solidFill>
              <w14:schemeClr w14:val="tx1"/>
            </w14:solidFill>
          </w14:textFill>
        </w:rPr>
        <w:t>。</w:t>
      </w:r>
    </w:p>
    <w:p>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为商家提供结算数据接口。包括但不限于汇总当天各类订单数据、展示日结数据及订单明细数据、按合同设定账期汇总数据、展示期结数据及订单明细数据等。</w:t>
      </w:r>
    </w:p>
    <w:p>
      <w:pPr>
        <w:widowControl/>
        <w:spacing w:before="156" w:beforeLines="50" w:after="156" w:afterLines="50" w:line="36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②</w:t>
      </w:r>
      <w:r>
        <w:rPr>
          <w:rFonts w:hint="eastAsia" w:ascii="宋体" w:hAnsi="宋体"/>
          <w:color w:val="000000" w:themeColor="text1"/>
          <w:szCs w:val="21"/>
          <w14:textFill>
            <w14:solidFill>
              <w14:schemeClr w14:val="tx1"/>
            </w14:solidFill>
          </w14:textFill>
        </w:rPr>
        <w:t>店铺装修及店铺前台技术支持</w:t>
      </w:r>
    </w:p>
    <w:p>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当当为商户提供店铺装修及店铺前台技术支持。店铺装修包括但不限于支持初始化店铺模板，创建首页及列表页，设置店铺logo、店铺状态、店铺店内分类，提供可视化装修等。</w:t>
      </w:r>
    </w:p>
    <w:p>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店铺前台包括但不限于展示店铺首页&amp;列表页，支持搜索、排序等功能，支持店铺收藏功能等。</w:t>
      </w:r>
    </w:p>
    <w:p>
      <w:pPr>
        <w:widowControl/>
        <w:spacing w:before="156" w:beforeLines="50" w:after="156" w:afterLines="50" w:line="36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③</w:t>
      </w:r>
      <w:r>
        <w:rPr>
          <w:rFonts w:hint="eastAsia" w:ascii="宋体" w:hAnsi="宋体"/>
          <w:color w:val="000000" w:themeColor="text1"/>
          <w:szCs w:val="21"/>
          <w14:textFill>
            <w14:solidFill>
              <w14:schemeClr w14:val="tx1"/>
            </w14:solidFill>
          </w14:textFill>
        </w:rPr>
        <w:t>交易系统</w:t>
      </w:r>
    </w:p>
    <w:p>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当当为商户提供包括但不限于基础数据服务（如商品信息展示，地址簿、配送方式、支付方式、发票等信息的展示与选择），商家促销计算服务（如单品促销，集合促销等促销方式的计算），运费服务（根据商家设置的运费规则计算运费），非现金计算服务（如礼品卡、礼券、余额、积分等非现金部分的扣减计算），订单服务（根据用户选择的商品信息，配送信息，以及商家设置的运费规则等计算出应收款进而生成待支付订单）。</w:t>
      </w:r>
    </w:p>
    <w:p>
      <w:pPr>
        <w:widowControl/>
        <w:spacing w:before="156" w:beforeLines="50" w:after="156" w:afterLines="50" w:line="36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④</w:t>
      </w:r>
      <w:r>
        <w:rPr>
          <w:rFonts w:hint="eastAsia" w:ascii="宋体" w:hAnsi="宋体"/>
          <w:color w:val="000000" w:themeColor="text1"/>
          <w:szCs w:val="21"/>
          <w14:textFill>
            <w14:solidFill>
              <w14:schemeClr w14:val="tx1"/>
            </w14:solidFill>
          </w14:textFill>
        </w:rPr>
        <w:t>在线结算和支付对接服务系统</w:t>
      </w:r>
    </w:p>
    <w:p>
      <w:pPr>
        <w:spacing w:line="360" w:lineRule="exact"/>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按合同在线实时进行结算数据服务，并为商家提供银行汇款，网银支付接口的等对接服务。</w:t>
      </w:r>
      <w:r>
        <w:rPr>
          <w:rFonts w:hint="eastAsia" w:ascii="宋体" w:hAnsi="宋体"/>
          <w:color w:val="000000" w:themeColor="text1"/>
          <w:szCs w:val="21"/>
          <w14:textFill>
            <w14:solidFill>
              <w14:schemeClr w14:val="tx1"/>
            </w14:solidFill>
          </w14:textFill>
        </w:rPr>
        <w:t>包括但不限于交易中心（如消费者的充值、提现、转账，商家的充值，收单交易及退款交易等），收银台【消费者支付商家订单的渠道选择，如网银类（如工行，中行），平台类（如支付宝，微信），当当类（礼券，礼品卡，积分），活动类（立减券，满减券）等】，支付中心（如快捷支付、网银支付、当当支付、活动支付及对应的退款方式等）。</w:t>
      </w:r>
    </w:p>
    <w:p>
      <w:pPr>
        <w:widowControl/>
        <w:spacing w:before="156" w:beforeLines="50" w:after="156" w:afterLines="50" w:line="36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⑤</w:t>
      </w:r>
      <w:r>
        <w:rPr>
          <w:rFonts w:hint="eastAsia" w:ascii="宋体" w:hAnsi="宋体"/>
          <w:color w:val="000000" w:themeColor="text1"/>
          <w:szCs w:val="21"/>
          <w14:textFill>
            <w14:solidFill>
              <w14:schemeClr w14:val="tx1"/>
            </w14:solidFill>
          </w14:textFill>
        </w:rPr>
        <w:t>商品推荐系统</w:t>
      </w:r>
    </w:p>
    <w:p>
      <w:pPr>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当当为商户提供推荐系统服务，包括但不限于基于商家商品的用户数据收集（围绕商品信息，对用户的行为动作进行收集。如用户对商品的浏览，加购，购买等行为）；数据处理（对收集的用户行为数据，结合商家的商品数据及实时库存，进行数据分析）；根据数据处理进行推荐服务，将商家商品展示在前台的单品页，购物车页，我的订单页等。可视化展示（推荐数据平台可以提供多个维度，大量的指标，进而增加数据平台的可视性：表格和趋势图进行展示；提供数据下载功能、指标筛选功能、指标维度筛选功能）。</w:t>
      </w:r>
    </w:p>
    <w:p>
      <w:pPr>
        <w:widowControl/>
        <w:spacing w:before="156" w:beforeLines="50" w:after="156" w:afterLines="50" w:line="36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⑥</w:t>
      </w:r>
      <w:r>
        <w:rPr>
          <w:rFonts w:hint="eastAsia" w:ascii="宋体" w:hAnsi="宋体"/>
          <w:color w:val="000000" w:themeColor="text1"/>
          <w:szCs w:val="21"/>
          <w14:textFill>
            <w14:solidFill>
              <w14:schemeClr w14:val="tx1"/>
            </w14:solidFill>
          </w14:textFill>
        </w:rPr>
        <w:t>商家或商品搜索系统</w:t>
      </w:r>
    </w:p>
    <w:p>
      <w:pPr>
        <w:widowControl/>
        <w:spacing w:line="36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当当为商户提供搜索系统，包括但不限于支持搜索商家店铺；支持店内商品搜索；搜索内容支持按销量，价格，热门等各类型排序。</w:t>
      </w:r>
    </w:p>
    <w:p>
      <w:pPr>
        <w:widowControl/>
        <w:spacing w:before="156" w:beforeLines="50" w:after="156" w:afterLines="50" w:line="36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⑦</w:t>
      </w:r>
      <w:r>
        <w:rPr>
          <w:rFonts w:hint="eastAsia" w:ascii="宋体" w:hAnsi="宋体"/>
          <w:color w:val="000000" w:themeColor="text1"/>
          <w:szCs w:val="21"/>
          <w14:textFill>
            <w14:solidFill>
              <w14:schemeClr w14:val="tx1"/>
            </w14:solidFill>
          </w14:textFill>
        </w:rPr>
        <w:t>与积分系统相关的软件服务</w:t>
      </w:r>
    </w:p>
    <w:p>
      <w:pPr>
        <w:widowControl/>
        <w:spacing w:line="36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在当当平台的经营过程中，为提升消费者购物粘性，当当向商户提供积分系统软件服务，商户同意使用积分系统软件（积分系统软件支持包括但不限于积分、购物券、及后续提供的其他类型积分发放等）向消费者发放各类型积分。</w:t>
      </w:r>
    </w:p>
    <w:p>
      <w:pPr>
        <w:widowControl/>
        <w:spacing w:before="156" w:beforeLines="50" w:after="156" w:afterLines="50" w:line="36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⑧</w:t>
      </w:r>
      <w:r>
        <w:rPr>
          <w:rFonts w:hint="eastAsia" w:ascii="宋体" w:hAnsi="宋体"/>
          <w:color w:val="000000" w:themeColor="text1"/>
          <w:szCs w:val="21"/>
          <w14:textFill>
            <w14:solidFill>
              <w14:schemeClr w14:val="tx1"/>
            </w14:solidFill>
          </w14:textFill>
        </w:rPr>
        <w:t>域名服务</w:t>
      </w:r>
    </w:p>
    <w:p>
      <w:pPr>
        <w:widowControl/>
        <w:spacing w:line="36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当当作为</w:t>
      </w:r>
      <w:r>
        <w:rPr>
          <w:rFonts w:hint="eastAsia" w:asciiTheme="minorEastAsia" w:hAnsiTheme="minorEastAsia" w:eastAsiaTheme="minorEastAsia"/>
          <w:color w:val="000000" w:themeColor="text1"/>
          <w:kern w:val="0"/>
          <w:szCs w:val="21"/>
          <w14:textFill>
            <w14:solidFill>
              <w14:schemeClr w14:val="tx1"/>
            </w14:solidFill>
          </w14:textFill>
        </w:rPr>
        <w:t>www.dangdang.com</w:t>
      </w:r>
      <w:r>
        <w:rPr>
          <w:rFonts w:hint="eastAsia" w:asciiTheme="minorEastAsia" w:hAnsiTheme="minorEastAsia" w:eastAsiaTheme="minorEastAsia"/>
          <w:color w:val="000000" w:themeColor="text1"/>
          <w:szCs w:val="21"/>
          <w14:textFill>
            <w14:solidFill>
              <w14:schemeClr w14:val="tx1"/>
            </w14:solidFill>
          </w14:textFill>
        </w:rPr>
        <w:t>域名的所有者通过其网站页面为商户展示其商品和服务信息，为商户和消费者提供交易、交流的载体。并允许商户使用带有其品牌关键字、商号等标识的二级域名，二级域名的所有权归当当，当当可根据第三方的依法投诉或自用原因收回二级域名。</w:t>
      </w:r>
    </w:p>
    <w:p>
      <w:pPr>
        <w:widowControl/>
        <w:spacing w:before="156" w:beforeLines="50" w:after="156" w:afterLines="50" w:line="36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⑨</w:t>
      </w:r>
      <w:r>
        <w:rPr>
          <w:rFonts w:hint="eastAsia" w:ascii="宋体" w:hAnsi="宋体"/>
          <w:color w:val="000000" w:themeColor="text1"/>
          <w:szCs w:val="21"/>
          <w14:textFill>
            <w14:solidFill>
              <w14:schemeClr w14:val="tx1"/>
            </w14:solidFill>
          </w14:textFill>
        </w:rPr>
        <w:t>智能客服服务软件系统</w:t>
      </w:r>
    </w:p>
    <w:p>
      <w:pPr>
        <w:widowControl/>
        <w:spacing w:line="360" w:lineRule="exact"/>
        <w:ind w:firstLine="420" w:firstLineChars="200"/>
        <w:jc w:val="left"/>
        <w:rPr>
          <w:rFonts w:ascii="宋体" w:hAnsi="宋体"/>
          <w:color w:val="000000" w:themeColor="text1"/>
          <w:szCs w:val="21"/>
          <w14:textFill>
            <w14:solidFill>
              <w14:schemeClr w14:val="tx1"/>
            </w14:solidFill>
          </w14:textFill>
        </w:rPr>
      </w:pPr>
      <w:r>
        <w:rPr>
          <w:rFonts w:hint="eastAsia" w:ascii="Calibri" w:hAnsi="Calibri"/>
          <w:color w:val="000000" w:themeColor="text1"/>
          <w:szCs w:val="21"/>
          <w14:textFill>
            <w14:solidFill>
              <w14:schemeClr w14:val="tx1"/>
            </w14:solidFill>
          </w14:textFill>
        </w:rPr>
        <w:t>当当为商户设置客服服务软件系统。商户可以根据店铺自行需求设置个性化的客服服务。</w:t>
      </w:r>
    </w:p>
    <w:p>
      <w:pPr>
        <w:widowControl/>
        <w:spacing w:before="156" w:beforeLines="50" w:after="156" w:afterLines="50" w:line="360" w:lineRule="exact"/>
        <w:ind w:firstLine="422" w:firstLineChars="200"/>
        <w:jc w:val="lef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highlight w:val="yellow"/>
          <w14:textFill>
            <w14:solidFill>
              <w14:schemeClr w14:val="tx1"/>
            </w14:solidFill>
          </w14:textFill>
        </w:rPr>
        <w:t>6.3.1.2基础技术服务实时扣划费用技术服务费费率如下</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6"/>
        <w:gridCol w:w="1701"/>
        <w:gridCol w:w="2126"/>
        <w:gridCol w:w="3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956" w:type="dxa"/>
            <w:tcBorders>
              <w:bottom w:val="single" w:color="auto" w:sz="4" w:space="0"/>
            </w:tcBorders>
            <w:shd w:val="clear" w:color="auto" w:fill="D9D9D9"/>
            <w:vAlign w:val="center"/>
          </w:tcPr>
          <w:p>
            <w:pPr>
              <w:widowControl/>
              <w:snapToGrid w:val="0"/>
              <w:spacing w:line="360" w:lineRule="exact"/>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经营类目</w:t>
            </w:r>
          </w:p>
        </w:tc>
        <w:tc>
          <w:tcPr>
            <w:tcW w:w="1701" w:type="dxa"/>
            <w:tcBorders>
              <w:bottom w:val="single" w:color="auto" w:sz="4" w:space="0"/>
            </w:tcBorders>
            <w:shd w:val="clear" w:color="auto" w:fill="D9D9D9"/>
            <w:vAlign w:val="center"/>
          </w:tcPr>
          <w:p>
            <w:pPr>
              <w:widowControl/>
              <w:snapToGrid w:val="0"/>
              <w:spacing w:line="360" w:lineRule="exact"/>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品牌</w:t>
            </w:r>
          </w:p>
        </w:tc>
        <w:tc>
          <w:tcPr>
            <w:tcW w:w="2126" w:type="dxa"/>
            <w:tcBorders>
              <w:bottom w:val="single" w:color="auto" w:sz="4" w:space="0"/>
            </w:tcBorders>
            <w:shd w:val="clear" w:color="auto" w:fill="D9D9D9"/>
          </w:tcPr>
          <w:p>
            <w:pPr>
              <w:widowControl/>
              <w:snapToGrid w:val="0"/>
              <w:spacing w:line="360" w:lineRule="exact"/>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固定费用（元/单）</w:t>
            </w:r>
          </w:p>
        </w:tc>
        <w:tc>
          <w:tcPr>
            <w:tcW w:w="3621" w:type="dxa"/>
            <w:tcBorders>
              <w:bottom w:val="single" w:color="auto" w:sz="4" w:space="0"/>
            </w:tcBorders>
            <w:shd w:val="clear" w:color="auto" w:fill="D9D9D9"/>
          </w:tcPr>
          <w:p>
            <w:pPr>
              <w:widowControl/>
              <w:snapToGrid w:val="0"/>
              <w:spacing w:line="360" w:lineRule="exact"/>
              <w:ind w:left="-250" w:leftChars="-119"/>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技术服务费费率（%/单；含运费）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956" w:type="dxa"/>
            <w:shd w:val="clear" w:color="auto" w:fill="FFFFFF"/>
            <w:vAlign w:val="center"/>
          </w:tcPr>
          <w:p>
            <w:pPr>
              <w:widowControl/>
              <w:snapToGrid w:val="0"/>
              <w:spacing w:line="360" w:lineRule="exact"/>
              <w:jc w:val="center"/>
              <w:rPr>
                <w:rFonts w:ascii="宋体" w:hAnsi="宋体"/>
                <w:i/>
                <w:color w:val="000000" w:themeColor="text1"/>
                <w:kern w:val="0"/>
                <w:szCs w:val="21"/>
                <w:highlight w:val="yellow"/>
                <w14:textFill>
                  <w14:solidFill>
                    <w14:schemeClr w14:val="tx1"/>
                  </w14:solidFill>
                </w14:textFill>
              </w:rPr>
            </w:pPr>
            <w:r>
              <w:rPr>
                <w:rFonts w:hint="eastAsia" w:ascii="宋体" w:hAnsi="宋体"/>
                <w:i/>
                <w:color w:val="000000" w:themeColor="text1"/>
                <w:kern w:val="0"/>
                <w:szCs w:val="21"/>
                <w:highlight w:val="yellow"/>
                <w14:textFill>
                  <w14:solidFill>
                    <w14:schemeClr w14:val="tx1"/>
                  </w14:solidFill>
                </w14:textFill>
              </w:rPr>
              <w:t>例：服装配饰</w:t>
            </w:r>
          </w:p>
        </w:tc>
        <w:tc>
          <w:tcPr>
            <w:tcW w:w="1701" w:type="dxa"/>
            <w:shd w:val="clear" w:color="auto" w:fill="FFFFFF"/>
            <w:vAlign w:val="center"/>
          </w:tcPr>
          <w:p>
            <w:pPr>
              <w:widowControl/>
              <w:snapToGrid w:val="0"/>
              <w:spacing w:line="360" w:lineRule="exact"/>
              <w:jc w:val="center"/>
              <w:rPr>
                <w:rFonts w:ascii="宋体" w:hAnsi="宋体"/>
                <w:i/>
                <w:color w:val="000000" w:themeColor="text1"/>
                <w:kern w:val="0"/>
                <w:szCs w:val="21"/>
                <w:highlight w:val="yellow"/>
                <w14:textFill>
                  <w14:solidFill>
                    <w14:schemeClr w14:val="tx1"/>
                  </w14:solidFill>
                </w14:textFill>
              </w:rPr>
            </w:pPr>
            <w:r>
              <w:rPr>
                <w:rFonts w:hint="eastAsia" w:ascii="宋体" w:hAnsi="宋体"/>
                <w:i/>
                <w:color w:val="000000" w:themeColor="text1"/>
                <w:kern w:val="0"/>
                <w:szCs w:val="21"/>
                <w:highlight w:val="yellow"/>
                <w14:textFill>
                  <w14:solidFill>
                    <w14:schemeClr w14:val="tx1"/>
                  </w14:solidFill>
                </w14:textFill>
              </w:rPr>
              <w:t>例：李宁</w:t>
            </w:r>
          </w:p>
        </w:tc>
        <w:tc>
          <w:tcPr>
            <w:tcW w:w="2126" w:type="dxa"/>
            <w:shd w:val="clear" w:color="auto" w:fill="FFFFFF"/>
          </w:tcPr>
          <w:p>
            <w:pPr>
              <w:widowControl/>
              <w:snapToGrid w:val="0"/>
              <w:spacing w:line="360" w:lineRule="exact"/>
              <w:jc w:val="center"/>
              <w:rPr>
                <w:rFonts w:ascii="宋体" w:hAnsi="宋体"/>
                <w:i/>
                <w:color w:val="000000" w:themeColor="text1"/>
                <w:kern w:val="0"/>
                <w:szCs w:val="21"/>
                <w:highlight w:val="yellow"/>
                <w14:textFill>
                  <w14:solidFill>
                    <w14:schemeClr w14:val="tx1"/>
                  </w14:solidFill>
                </w14:textFill>
              </w:rPr>
            </w:pPr>
            <w:r>
              <w:rPr>
                <w:rFonts w:hint="eastAsia" w:ascii="宋体" w:hAnsi="宋体"/>
                <w:i/>
                <w:color w:val="000000" w:themeColor="text1"/>
                <w:kern w:val="0"/>
                <w:szCs w:val="21"/>
                <w:highlight w:val="yellow"/>
                <w14:textFill>
                  <w14:solidFill>
                    <w14:schemeClr w14:val="tx1"/>
                  </w14:solidFill>
                </w14:textFill>
              </w:rPr>
              <w:t>例：  元/单</w:t>
            </w:r>
          </w:p>
        </w:tc>
        <w:tc>
          <w:tcPr>
            <w:tcW w:w="3621" w:type="dxa"/>
            <w:shd w:val="clear" w:color="auto" w:fill="FFFFFF"/>
          </w:tcPr>
          <w:p>
            <w:pPr>
              <w:widowControl/>
              <w:snapToGrid w:val="0"/>
              <w:spacing w:line="360" w:lineRule="exact"/>
              <w:jc w:val="center"/>
              <w:rPr>
                <w:rFonts w:ascii="宋体" w:hAnsi="宋体"/>
                <w:i/>
                <w:color w:val="000000" w:themeColor="text1"/>
                <w:kern w:val="0"/>
                <w:szCs w:val="21"/>
                <w:highlight w:val="yellow"/>
                <w14:textFill>
                  <w14:solidFill>
                    <w14:schemeClr w14:val="tx1"/>
                  </w14:solidFill>
                </w14:textFill>
              </w:rPr>
            </w:pPr>
            <w:r>
              <w:rPr>
                <w:rFonts w:hint="eastAsia" w:ascii="宋体" w:hAnsi="宋体"/>
                <w:i/>
                <w:color w:val="000000" w:themeColor="text1"/>
                <w:kern w:val="0"/>
                <w:szCs w:val="21"/>
                <w:highlight w:val="yellow"/>
                <w14:textFill>
                  <w14:solidFill>
                    <w14:schemeClr w14:val="tx1"/>
                  </w14:solidFill>
                </w14:textFill>
              </w:rPr>
              <w:t>例：  %/单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956" w:type="dxa"/>
            <w:vAlign w:val="center"/>
          </w:tcPr>
          <w:p>
            <w:pPr>
              <w:widowControl/>
              <w:snapToGrid w:val="0"/>
              <w:spacing w:line="360" w:lineRule="exact"/>
              <w:ind w:firstLine="420" w:firstLineChars="200"/>
              <w:rPr>
                <w:rFonts w:ascii="宋体" w:hAnsi="宋体"/>
                <w:color w:val="000000" w:themeColor="text1"/>
                <w:kern w:val="0"/>
                <w:szCs w:val="21"/>
                <w:highlight w:val="yellow"/>
                <w:u w:val="single"/>
                <w14:textFill>
                  <w14:solidFill>
                    <w14:schemeClr w14:val="tx1"/>
                  </w14:solidFill>
                </w14:textFill>
              </w:rPr>
            </w:pPr>
            <w:r>
              <w:rPr>
                <w:rFonts w:hint="eastAsia" w:ascii="宋体" w:hAnsi="宋体"/>
                <w:color w:val="000000" w:themeColor="text1"/>
                <w:kern w:val="0"/>
                <w:szCs w:val="21"/>
                <w:highlight w:val="yellow"/>
                <w:u w:val="single"/>
                <w14:textFill>
                  <w14:solidFill>
                    <w14:schemeClr w14:val="tx1"/>
                  </w14:solidFill>
                </w14:textFill>
              </w:rPr>
              <w:t>母婴</w:t>
            </w:r>
          </w:p>
        </w:tc>
        <w:tc>
          <w:tcPr>
            <w:tcW w:w="1701" w:type="dxa"/>
            <w:vAlign w:val="center"/>
          </w:tcPr>
          <w:p>
            <w:pPr>
              <w:widowControl/>
              <w:snapToGrid w:val="0"/>
              <w:spacing w:line="360" w:lineRule="exact"/>
              <w:ind w:firstLine="420" w:firstLineChars="200"/>
              <w:rPr>
                <w:rFonts w:hint="eastAsia" w:ascii="宋体" w:hAnsi="宋体" w:eastAsia="宋体"/>
                <w:color w:val="000000" w:themeColor="text1"/>
                <w:kern w:val="0"/>
                <w:szCs w:val="21"/>
                <w:highlight w:val="yellow"/>
                <w:u w:val="single"/>
                <w:lang w:val="en-US" w:eastAsia="zh-CN"/>
                <w14:textFill>
                  <w14:solidFill>
                    <w14:schemeClr w14:val="tx1"/>
                  </w14:solidFill>
                </w14:textFill>
              </w:rPr>
            </w:pPr>
            <w:r>
              <w:rPr>
                <w:rFonts w:hint="eastAsia" w:ascii="宋体" w:hAnsi="宋体"/>
                <w:color w:val="000000" w:themeColor="text1"/>
                <w:kern w:val="0"/>
                <w:szCs w:val="21"/>
                <w:highlight w:val="yellow"/>
                <w:u w:val="single"/>
                <w:lang w:val="en-US" w:eastAsia="zh-CN"/>
                <w14:textFill>
                  <w14:solidFill>
                    <w14:schemeClr w14:val="tx1"/>
                  </w14:solidFill>
                </w14:textFill>
              </w:rPr>
              <w:t>Babacare</w:t>
            </w:r>
          </w:p>
        </w:tc>
        <w:tc>
          <w:tcPr>
            <w:tcW w:w="2126" w:type="dxa"/>
          </w:tcPr>
          <w:p>
            <w:pPr>
              <w:widowControl/>
              <w:snapToGrid w:val="0"/>
              <w:spacing w:line="360" w:lineRule="exact"/>
              <w:ind w:firstLine="420" w:firstLineChars="200"/>
              <w:rPr>
                <w:rFonts w:ascii="宋体" w:hAnsi="宋体"/>
                <w:color w:val="000000" w:themeColor="text1"/>
                <w:kern w:val="0"/>
                <w:szCs w:val="21"/>
                <w:highlight w:val="yellow"/>
                <w:u w:val="single"/>
                <w14:textFill>
                  <w14:solidFill>
                    <w14:schemeClr w14:val="tx1"/>
                  </w14:solidFill>
                </w14:textFill>
              </w:rPr>
            </w:pPr>
          </w:p>
        </w:tc>
        <w:tc>
          <w:tcPr>
            <w:tcW w:w="3621" w:type="dxa"/>
          </w:tcPr>
          <w:p>
            <w:pPr>
              <w:widowControl/>
              <w:tabs>
                <w:tab w:val="left" w:pos="202"/>
              </w:tabs>
              <w:snapToGrid w:val="0"/>
              <w:spacing w:line="360" w:lineRule="exact"/>
              <w:ind w:firstLine="420" w:firstLineChars="200"/>
              <w:rPr>
                <w:rFonts w:ascii="宋体" w:hAnsi="宋体"/>
                <w:color w:val="000000" w:themeColor="text1"/>
                <w:kern w:val="0"/>
                <w:szCs w:val="21"/>
                <w:highlight w:val="yellow"/>
                <w:u w:val="single"/>
                <w14:textFill>
                  <w14:solidFill>
                    <w14:schemeClr w14:val="tx1"/>
                  </w14:solidFill>
                </w14:textFill>
              </w:rPr>
            </w:pPr>
            <w:r>
              <w:rPr>
                <w:rFonts w:hint="eastAsia" w:ascii="宋体" w:hAnsi="宋体"/>
                <w:color w:val="000000" w:themeColor="text1"/>
                <w:kern w:val="0"/>
                <w:szCs w:val="21"/>
                <w:highlight w:val="yellow"/>
                <w:u w:val="single"/>
                <w:lang w:val="en-US" w:eastAsia="zh-CN"/>
                <w14:textFill>
                  <w14:solidFill>
                    <w14:schemeClr w14:val="tx1"/>
                  </w14:solidFill>
                </w14:textFill>
              </w:rPr>
              <w:t>3</w:t>
            </w:r>
            <w:r>
              <w:rPr>
                <w:rFonts w:hint="eastAsia" w:ascii="宋体" w:hAnsi="宋体"/>
                <w:color w:val="000000" w:themeColor="text1"/>
                <w:kern w:val="0"/>
                <w:szCs w:val="21"/>
                <w:highlight w:val="yellow"/>
                <w:u w:val="singl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956" w:type="dxa"/>
            <w:vAlign w:val="center"/>
          </w:tcPr>
          <w:p>
            <w:pPr>
              <w:widowControl/>
              <w:snapToGrid w:val="0"/>
              <w:spacing w:line="360" w:lineRule="exact"/>
              <w:ind w:firstLine="420" w:firstLineChars="200"/>
              <w:rPr>
                <w:rFonts w:ascii="宋体" w:hAnsi="宋体"/>
                <w:color w:val="000000" w:themeColor="text1"/>
                <w:kern w:val="0"/>
                <w:szCs w:val="21"/>
                <w:u w:val="single"/>
                <w14:textFill>
                  <w14:solidFill>
                    <w14:schemeClr w14:val="tx1"/>
                  </w14:solidFill>
                </w14:textFill>
              </w:rPr>
            </w:pPr>
          </w:p>
        </w:tc>
        <w:tc>
          <w:tcPr>
            <w:tcW w:w="1701" w:type="dxa"/>
            <w:vAlign w:val="center"/>
          </w:tcPr>
          <w:p>
            <w:pPr>
              <w:widowControl/>
              <w:snapToGrid w:val="0"/>
              <w:spacing w:line="360" w:lineRule="exact"/>
              <w:ind w:firstLine="420" w:firstLineChars="200"/>
              <w:rPr>
                <w:rFonts w:ascii="宋体" w:hAnsi="宋体"/>
                <w:color w:val="000000" w:themeColor="text1"/>
                <w:kern w:val="0"/>
                <w:szCs w:val="21"/>
                <w:u w:val="single"/>
                <w14:textFill>
                  <w14:solidFill>
                    <w14:schemeClr w14:val="tx1"/>
                  </w14:solidFill>
                </w14:textFill>
              </w:rPr>
            </w:pPr>
          </w:p>
        </w:tc>
        <w:tc>
          <w:tcPr>
            <w:tcW w:w="2126" w:type="dxa"/>
          </w:tcPr>
          <w:p>
            <w:pPr>
              <w:widowControl/>
              <w:snapToGrid w:val="0"/>
              <w:spacing w:line="360" w:lineRule="exact"/>
              <w:ind w:firstLine="420" w:firstLineChars="200"/>
              <w:rPr>
                <w:rFonts w:ascii="宋体" w:hAnsi="宋体"/>
                <w:color w:val="000000" w:themeColor="text1"/>
                <w:kern w:val="0"/>
                <w:szCs w:val="21"/>
                <w:u w:val="single"/>
                <w14:textFill>
                  <w14:solidFill>
                    <w14:schemeClr w14:val="tx1"/>
                  </w14:solidFill>
                </w14:textFill>
              </w:rPr>
            </w:pPr>
          </w:p>
        </w:tc>
        <w:tc>
          <w:tcPr>
            <w:tcW w:w="3621" w:type="dxa"/>
          </w:tcPr>
          <w:p>
            <w:pPr>
              <w:widowControl/>
              <w:snapToGrid w:val="0"/>
              <w:spacing w:line="360" w:lineRule="exact"/>
              <w:ind w:firstLine="420" w:firstLineChars="200"/>
              <w:rPr>
                <w:rFonts w:ascii="宋体" w:hAnsi="宋体"/>
                <w:color w:val="000000" w:themeColor="text1"/>
                <w:kern w:val="0"/>
                <w:szCs w:val="21"/>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956" w:type="dxa"/>
            <w:vAlign w:val="center"/>
          </w:tcPr>
          <w:p>
            <w:pPr>
              <w:widowControl/>
              <w:snapToGrid w:val="0"/>
              <w:spacing w:line="360" w:lineRule="exact"/>
              <w:ind w:firstLine="420" w:firstLineChars="200"/>
              <w:rPr>
                <w:rFonts w:ascii="宋体" w:hAnsi="宋体"/>
                <w:color w:val="000000" w:themeColor="text1"/>
                <w:kern w:val="0"/>
                <w:szCs w:val="21"/>
                <w:u w:val="single"/>
                <w14:textFill>
                  <w14:solidFill>
                    <w14:schemeClr w14:val="tx1"/>
                  </w14:solidFill>
                </w14:textFill>
              </w:rPr>
            </w:pPr>
          </w:p>
        </w:tc>
        <w:tc>
          <w:tcPr>
            <w:tcW w:w="1701" w:type="dxa"/>
            <w:vAlign w:val="center"/>
          </w:tcPr>
          <w:p>
            <w:pPr>
              <w:widowControl/>
              <w:snapToGrid w:val="0"/>
              <w:spacing w:line="360" w:lineRule="exact"/>
              <w:ind w:firstLine="420" w:firstLineChars="200"/>
              <w:rPr>
                <w:rFonts w:ascii="宋体" w:hAnsi="宋体"/>
                <w:color w:val="000000" w:themeColor="text1"/>
                <w:kern w:val="0"/>
                <w:szCs w:val="21"/>
                <w:u w:val="single"/>
                <w14:textFill>
                  <w14:solidFill>
                    <w14:schemeClr w14:val="tx1"/>
                  </w14:solidFill>
                </w14:textFill>
              </w:rPr>
            </w:pPr>
          </w:p>
        </w:tc>
        <w:tc>
          <w:tcPr>
            <w:tcW w:w="2126" w:type="dxa"/>
          </w:tcPr>
          <w:p>
            <w:pPr>
              <w:widowControl/>
              <w:snapToGrid w:val="0"/>
              <w:spacing w:line="360" w:lineRule="exact"/>
              <w:ind w:firstLine="420" w:firstLineChars="200"/>
              <w:rPr>
                <w:rFonts w:ascii="宋体" w:hAnsi="宋体"/>
                <w:color w:val="000000" w:themeColor="text1"/>
                <w:kern w:val="0"/>
                <w:szCs w:val="21"/>
                <w:u w:val="single"/>
                <w14:textFill>
                  <w14:solidFill>
                    <w14:schemeClr w14:val="tx1"/>
                  </w14:solidFill>
                </w14:textFill>
              </w:rPr>
            </w:pPr>
          </w:p>
        </w:tc>
        <w:tc>
          <w:tcPr>
            <w:tcW w:w="3621" w:type="dxa"/>
          </w:tcPr>
          <w:p>
            <w:pPr>
              <w:widowControl/>
              <w:snapToGrid w:val="0"/>
              <w:spacing w:line="360" w:lineRule="exact"/>
              <w:ind w:firstLine="420" w:firstLineChars="200"/>
              <w:rPr>
                <w:rFonts w:ascii="宋体" w:hAnsi="宋体"/>
                <w:color w:val="000000" w:themeColor="text1"/>
                <w:kern w:val="0"/>
                <w:szCs w:val="21"/>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956" w:type="dxa"/>
            <w:vAlign w:val="center"/>
          </w:tcPr>
          <w:p>
            <w:pPr>
              <w:widowControl/>
              <w:snapToGrid w:val="0"/>
              <w:spacing w:line="360" w:lineRule="exact"/>
              <w:ind w:firstLine="420" w:firstLineChars="200"/>
              <w:rPr>
                <w:rFonts w:ascii="宋体" w:hAnsi="宋体"/>
                <w:color w:val="000000" w:themeColor="text1"/>
                <w:kern w:val="0"/>
                <w:szCs w:val="21"/>
                <w:u w:val="single"/>
                <w14:textFill>
                  <w14:solidFill>
                    <w14:schemeClr w14:val="tx1"/>
                  </w14:solidFill>
                </w14:textFill>
              </w:rPr>
            </w:pPr>
          </w:p>
        </w:tc>
        <w:tc>
          <w:tcPr>
            <w:tcW w:w="1701" w:type="dxa"/>
            <w:vAlign w:val="center"/>
          </w:tcPr>
          <w:p>
            <w:pPr>
              <w:widowControl/>
              <w:snapToGrid w:val="0"/>
              <w:spacing w:line="360" w:lineRule="exact"/>
              <w:ind w:firstLine="420" w:firstLineChars="200"/>
              <w:rPr>
                <w:rFonts w:ascii="宋体" w:hAnsi="宋体"/>
                <w:color w:val="000000" w:themeColor="text1"/>
                <w:kern w:val="0"/>
                <w:szCs w:val="21"/>
                <w:u w:val="single"/>
                <w14:textFill>
                  <w14:solidFill>
                    <w14:schemeClr w14:val="tx1"/>
                  </w14:solidFill>
                </w14:textFill>
              </w:rPr>
            </w:pPr>
          </w:p>
        </w:tc>
        <w:tc>
          <w:tcPr>
            <w:tcW w:w="2126" w:type="dxa"/>
          </w:tcPr>
          <w:p>
            <w:pPr>
              <w:widowControl/>
              <w:snapToGrid w:val="0"/>
              <w:spacing w:line="360" w:lineRule="exact"/>
              <w:ind w:firstLine="420" w:firstLineChars="200"/>
              <w:rPr>
                <w:rFonts w:ascii="宋体" w:hAnsi="宋体"/>
                <w:color w:val="000000" w:themeColor="text1"/>
                <w:kern w:val="0"/>
                <w:szCs w:val="21"/>
                <w:u w:val="single"/>
                <w14:textFill>
                  <w14:solidFill>
                    <w14:schemeClr w14:val="tx1"/>
                  </w14:solidFill>
                </w14:textFill>
              </w:rPr>
            </w:pPr>
          </w:p>
        </w:tc>
        <w:tc>
          <w:tcPr>
            <w:tcW w:w="3621" w:type="dxa"/>
          </w:tcPr>
          <w:p>
            <w:pPr>
              <w:widowControl/>
              <w:snapToGrid w:val="0"/>
              <w:spacing w:line="360" w:lineRule="exact"/>
              <w:ind w:firstLine="420" w:firstLineChars="200"/>
              <w:rPr>
                <w:rFonts w:ascii="宋体" w:hAnsi="宋体"/>
                <w:color w:val="000000" w:themeColor="text1"/>
                <w:kern w:val="0"/>
                <w:szCs w:val="21"/>
                <w:u w:val="single"/>
                <w14:textFill>
                  <w14:solidFill>
                    <w14:schemeClr w14:val="tx1"/>
                  </w14:solidFill>
                </w14:textFill>
              </w:rPr>
            </w:pPr>
          </w:p>
        </w:tc>
      </w:tr>
    </w:tbl>
    <w:p>
      <w:pPr>
        <w:widowControl/>
        <w:spacing w:before="93" w:beforeLines="30" w:after="93" w:afterLines="30" w:line="320" w:lineRule="atLeast"/>
        <w:ind w:firstLine="422" w:firstLineChars="200"/>
        <w:jc w:val="left"/>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6.3.1.3实时扣划结算时间</w:t>
      </w:r>
    </w:p>
    <w:p>
      <w:pPr>
        <w:widowControl/>
        <w:spacing w:line="320" w:lineRule="atLeas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每月25号为结算日，每月至少结算一次。</w:t>
      </w:r>
    </w:p>
    <w:p>
      <w:pPr>
        <w:widowControl/>
        <w:spacing w:before="93" w:beforeLines="30" w:after="93" w:afterLines="30" w:line="320" w:lineRule="atLeast"/>
        <w:ind w:firstLine="422" w:firstLineChars="200"/>
        <w:jc w:val="left"/>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6.3.1.4结算条件</w:t>
      </w:r>
    </w:p>
    <w:p>
      <w:pPr>
        <w:widowControl/>
        <w:spacing w:line="36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每个结算周期的次日系统自动生成结算单，双方核对一致后，当当留存应得的部分款项，其余款项安排支付给商户。</w:t>
      </w:r>
    </w:p>
    <w:p>
      <w:pPr>
        <w:widowControl/>
        <w:spacing w:line="36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进入结算期的商户可结算金额为：可结算金额=本期结算订单总销售额-技术服务费实时扣划费用-其他费用。</w:t>
      </w:r>
    </w:p>
    <w:p>
      <w:pPr>
        <w:widowControl/>
        <w:spacing w:line="36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商户应与当当授权的人员进行对账结算。未经当当授权的人员擅自与商户及商户人员的对账行为均不被当当认可。</w:t>
      </w:r>
    </w:p>
    <w:p>
      <w:pPr>
        <w:widowControl/>
        <w:spacing w:before="93" w:beforeLines="30" w:after="93" w:afterLines="30" w:line="320" w:lineRule="atLeast"/>
        <w:ind w:firstLine="422" w:firstLineChars="200"/>
        <w:jc w:val="left"/>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6.3.2 增值技术服务</w:t>
      </w:r>
    </w:p>
    <w:p>
      <w:pPr>
        <w:widowControl/>
        <w:spacing w:before="93" w:beforeLines="30" w:after="93" w:afterLines="30" w:line="320" w:lineRule="atLeast"/>
        <w:ind w:firstLine="420" w:firstLineChars="200"/>
        <w:jc w:val="left"/>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6.3.2.1增值技术服务</w:t>
      </w:r>
    </w:p>
    <w:p>
      <w:pPr>
        <w:spacing w:line="360" w:lineRule="auto"/>
        <w:ind w:firstLine="420" w:firstLineChars="200"/>
        <w:rPr>
          <w:rFonts w:asciiTheme="minorEastAsia" w:hAnsiTheme="minorEastAsia" w:eastAsiaTheme="minorEastAsia"/>
          <w:color w:val="000000" w:themeColor="text1"/>
          <w14:textFill>
            <w14:solidFill>
              <w14:schemeClr w14:val="tx1"/>
            </w14:solidFill>
          </w14:textFill>
        </w:rPr>
      </w:pPr>
      <w:r>
        <w:rPr>
          <w:rFonts w:ascii="Calibri" w:hAnsi="Calibri" w:eastAsiaTheme="minorEastAsia"/>
          <w:color w:val="000000" w:themeColor="text1"/>
          <w14:textFill>
            <w14:solidFill>
              <w14:schemeClr w14:val="tx1"/>
            </w14:solidFill>
          </w14:textFill>
        </w:rPr>
        <w:t>①</w:t>
      </w:r>
      <w:r>
        <w:rPr>
          <w:rFonts w:hint="eastAsia" w:asciiTheme="minorEastAsia" w:hAnsiTheme="minorEastAsia" w:eastAsiaTheme="minorEastAsia"/>
          <w:color w:val="000000" w:themeColor="text1"/>
          <w14:textFill>
            <w14:solidFill>
              <w14:schemeClr w14:val="tx1"/>
            </w14:solidFill>
          </w14:textFill>
        </w:rPr>
        <w:t>在线商家账号管理系统升级服务</w:t>
      </w:r>
    </w:p>
    <w:p>
      <w:pPr>
        <w:spacing w:line="360" w:lineRule="exact"/>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商家账号管理系统包括在线高效管理商品信息，实时创建和变更商家账号的组织结构，相应参数和预算调整以满足商家实时的需求变更。</w:t>
      </w:r>
    </w:p>
    <w:p>
      <w:pPr>
        <w:spacing w:line="360" w:lineRule="auto"/>
        <w:ind w:firstLine="420" w:firstLineChars="200"/>
        <w:rPr>
          <w:rFonts w:asciiTheme="minorEastAsia" w:hAnsiTheme="minorEastAsia" w:eastAsiaTheme="minorEastAsia"/>
          <w:color w:val="000000" w:themeColor="text1"/>
          <w14:textFill>
            <w14:solidFill>
              <w14:schemeClr w14:val="tx1"/>
            </w14:solidFill>
          </w14:textFill>
        </w:rPr>
      </w:pPr>
      <w:r>
        <w:rPr>
          <w:rFonts w:ascii="Calibri" w:hAnsi="Calibri" w:eastAsiaTheme="minorEastAsia"/>
          <w:color w:val="000000" w:themeColor="text1"/>
          <w14:textFill>
            <w14:solidFill>
              <w14:schemeClr w14:val="tx1"/>
            </w14:solidFill>
          </w14:textFill>
        </w:rPr>
        <w:t>②</w:t>
      </w:r>
      <w:r>
        <w:rPr>
          <w:rFonts w:hint="eastAsia" w:asciiTheme="minorEastAsia" w:hAnsiTheme="minorEastAsia" w:eastAsiaTheme="minorEastAsia"/>
          <w:color w:val="000000" w:themeColor="text1"/>
          <w14:textFill>
            <w14:solidFill>
              <w14:schemeClr w14:val="tx1"/>
            </w14:solidFill>
          </w14:textFill>
        </w:rPr>
        <w:t>智能信息发布服务</w:t>
      </w:r>
    </w:p>
    <w:p>
      <w:pPr>
        <w:spacing w:line="360" w:lineRule="exact"/>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通过在线实时计算，获得用户的搜索，点击，浏览等行为数据，计算商家商品信息的语义和用户的行为数据一起建立不同的数学模型，根据模型计算结果将商家商品信息发布到商家潜在购买用户的当前浏览的网页上。</w:t>
      </w:r>
    </w:p>
    <w:p>
      <w:pPr>
        <w:spacing w:line="360" w:lineRule="auto"/>
        <w:ind w:firstLine="420" w:firstLineChars="200"/>
        <w:rPr>
          <w:rFonts w:asciiTheme="minorEastAsia" w:hAnsiTheme="minorEastAsia" w:eastAsiaTheme="minorEastAsia"/>
          <w:color w:val="000000" w:themeColor="text1"/>
          <w14:textFill>
            <w14:solidFill>
              <w14:schemeClr w14:val="tx1"/>
            </w14:solidFill>
          </w14:textFill>
        </w:rPr>
      </w:pPr>
      <w:r>
        <w:rPr>
          <w:rFonts w:ascii="Calibri" w:hAnsi="Calibri" w:eastAsiaTheme="minorEastAsia"/>
          <w:color w:val="000000" w:themeColor="text1"/>
          <w14:textFill>
            <w14:solidFill>
              <w14:schemeClr w14:val="tx1"/>
            </w14:solidFill>
          </w14:textFill>
        </w:rPr>
        <w:t>③</w:t>
      </w:r>
      <w:r>
        <w:rPr>
          <w:rFonts w:hint="eastAsia" w:asciiTheme="minorEastAsia" w:hAnsiTheme="minorEastAsia" w:eastAsiaTheme="minorEastAsia"/>
          <w:color w:val="000000" w:themeColor="text1"/>
          <w14:textFill>
            <w14:solidFill>
              <w14:schemeClr w14:val="tx1"/>
            </w14:solidFill>
          </w14:textFill>
        </w:rPr>
        <w:t>数据统计和分析服务</w:t>
      </w:r>
    </w:p>
    <w:p>
      <w:pPr>
        <w:spacing w:line="360" w:lineRule="exact"/>
        <w:ind w:firstLine="420" w:firstLineChars="200"/>
        <w:rPr>
          <w:rFonts w:asciiTheme="minorEastAsia" w:hAnsiTheme="minorEastAsia" w:eastAsiaTheme="minorEastAsia"/>
          <w:color w:val="000000" w:themeColor="text1"/>
          <w14:textFill>
            <w14:solidFill>
              <w14:schemeClr w14:val="tx1"/>
            </w14:solidFill>
          </w14:textFill>
        </w:rPr>
      </w:pPr>
      <w:r>
        <w:rPr>
          <w:rFonts w:asciiTheme="minorEastAsia" w:hAnsiTheme="minorEastAsia" w:eastAsiaTheme="minorEastAsia"/>
          <w:color w:val="000000" w:themeColor="text1"/>
          <w14:textFill>
            <w14:solidFill>
              <w14:schemeClr w14:val="tx1"/>
            </w14:solidFill>
          </w14:textFill>
        </w:rPr>
        <w:t>在全面结构化的基础数据和应用数据的基础上</w:t>
      </w:r>
      <w:r>
        <w:rPr>
          <w:rFonts w:hint="eastAsia" w:asciiTheme="minorEastAsia" w:hAnsiTheme="minorEastAsia" w:eastAsiaTheme="minorEastAsia"/>
          <w:color w:val="000000" w:themeColor="text1"/>
          <w14:textFill>
            <w14:solidFill>
              <w14:schemeClr w14:val="tx1"/>
            </w14:solidFill>
          </w14:textFill>
        </w:rPr>
        <w:t>，通过计算和大数据处理，为商家提供准确和完整的用户点击商家商品的数据，以及用户通过这些点击产生的订单数据等数据服务，为商家的商业决策提供数据支持，提升流量运营效果。</w:t>
      </w:r>
    </w:p>
    <w:p>
      <w:pPr>
        <w:spacing w:line="360" w:lineRule="auto"/>
        <w:ind w:firstLine="420" w:firstLineChars="200"/>
        <w:rPr>
          <w:rFonts w:asciiTheme="minorEastAsia" w:hAnsiTheme="minorEastAsia" w:eastAsiaTheme="minorEastAsia"/>
          <w:color w:val="000000" w:themeColor="text1"/>
          <w14:textFill>
            <w14:solidFill>
              <w14:schemeClr w14:val="tx1"/>
            </w14:solidFill>
          </w14:textFill>
        </w:rPr>
      </w:pPr>
      <w:r>
        <w:rPr>
          <w:rFonts w:ascii="Calibri" w:hAnsi="Calibri" w:eastAsiaTheme="minorEastAsia"/>
          <w:color w:val="000000" w:themeColor="text1"/>
          <w14:textFill>
            <w14:solidFill>
              <w14:schemeClr w14:val="tx1"/>
            </w14:solidFill>
          </w14:textFill>
        </w:rPr>
        <w:t>④</w:t>
      </w:r>
      <w:r>
        <w:rPr>
          <w:rFonts w:hint="eastAsia" w:asciiTheme="minorEastAsia" w:hAnsiTheme="minorEastAsia" w:eastAsiaTheme="minorEastAsia"/>
          <w:color w:val="000000" w:themeColor="text1"/>
          <w14:textFill>
            <w14:solidFill>
              <w14:schemeClr w14:val="tx1"/>
            </w14:solidFill>
          </w14:textFill>
        </w:rPr>
        <w:t>智能安全服务</w:t>
      </w:r>
    </w:p>
    <w:p>
      <w:pPr>
        <w:spacing w:line="360" w:lineRule="exact"/>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实时智能判断互联网爬虫和流量劫持等恶意行为，对相关流量进行智能过滤，提供安全保障服务。</w:t>
      </w:r>
    </w:p>
    <w:p>
      <w:pPr>
        <w:spacing w:line="360" w:lineRule="auto"/>
        <w:ind w:firstLine="420" w:firstLineChars="200"/>
        <w:rPr>
          <w:rFonts w:asciiTheme="minorEastAsia" w:hAnsiTheme="minorEastAsia" w:eastAsiaTheme="minorEastAsia"/>
          <w:color w:val="000000" w:themeColor="text1"/>
          <w14:textFill>
            <w14:solidFill>
              <w14:schemeClr w14:val="tx1"/>
            </w14:solidFill>
          </w14:textFill>
        </w:rPr>
      </w:pPr>
      <w:r>
        <w:rPr>
          <w:rFonts w:ascii="Calibri" w:hAnsi="Calibri" w:eastAsiaTheme="minorEastAsia"/>
          <w:color w:val="000000" w:themeColor="text1"/>
          <w14:textFill>
            <w14:solidFill>
              <w14:schemeClr w14:val="tx1"/>
            </w14:solidFill>
          </w14:textFill>
        </w:rPr>
        <w:t>⑤</w:t>
      </w:r>
      <w:r>
        <w:rPr>
          <w:rFonts w:hint="eastAsia" w:asciiTheme="minorEastAsia" w:hAnsiTheme="minorEastAsia" w:eastAsiaTheme="minorEastAsia"/>
          <w:color w:val="000000" w:themeColor="text1"/>
          <w14:textFill>
            <w14:solidFill>
              <w14:schemeClr w14:val="tx1"/>
            </w14:solidFill>
          </w14:textFill>
        </w:rPr>
        <w:t>DM/EDM服务</w:t>
      </w:r>
    </w:p>
    <w:p>
      <w:pPr>
        <w:spacing w:line="360" w:lineRule="exact"/>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当当负责运行和管理DM/EDM系统，维护DM/EDM数据库，研究和开发相关技术，制定使用标准及管理办法，保证系统有效运行，并对用户行为跟踪分析等。</w:t>
      </w:r>
    </w:p>
    <w:p>
      <w:pPr>
        <w:spacing w:line="360" w:lineRule="auto"/>
        <w:ind w:firstLine="420" w:firstLineChars="200"/>
        <w:rPr>
          <w:rFonts w:asciiTheme="minorEastAsia" w:hAnsiTheme="minorEastAsia" w:eastAsiaTheme="minorEastAsia"/>
          <w:color w:val="000000" w:themeColor="text1"/>
          <w14:textFill>
            <w14:solidFill>
              <w14:schemeClr w14:val="tx1"/>
            </w14:solidFill>
          </w14:textFill>
        </w:rPr>
      </w:pPr>
      <w:r>
        <w:rPr>
          <w:rFonts w:ascii="Calibri" w:hAnsi="Calibri" w:eastAsiaTheme="minorEastAsia"/>
          <w:color w:val="000000" w:themeColor="text1"/>
          <w14:textFill>
            <w14:solidFill>
              <w14:schemeClr w14:val="tx1"/>
            </w14:solidFill>
          </w14:textFill>
        </w:rPr>
        <w:t>⑥</w:t>
      </w:r>
      <w:r>
        <w:rPr>
          <w:rFonts w:hint="eastAsia" w:asciiTheme="minorEastAsia" w:hAnsiTheme="minorEastAsia" w:eastAsiaTheme="minorEastAsia"/>
          <w:color w:val="000000" w:themeColor="text1"/>
          <w14:textFill>
            <w14:solidFill>
              <w14:schemeClr w14:val="tx1"/>
            </w14:solidFill>
          </w14:textFill>
        </w:rPr>
        <w:t>ADsmart竞价技术服务</w:t>
      </w:r>
    </w:p>
    <w:p>
      <w:pPr>
        <w:spacing w:line="360" w:lineRule="exact"/>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当当为商户提供在当当搜索引擎网页搜索结果页面中，以关键词在线竞价方式展示商户店铺信息的一种有偿服务。</w:t>
      </w:r>
    </w:p>
    <w:p>
      <w:pPr>
        <w:widowControl/>
        <w:spacing w:before="93" w:beforeLines="30" w:after="93" w:afterLines="30" w:line="320" w:lineRule="atLeast"/>
        <w:ind w:firstLine="420" w:firstLineChars="200"/>
        <w:jc w:val="left"/>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6.3.2.2增值技术服务费费率</w:t>
      </w:r>
    </w:p>
    <w:p>
      <w:pPr>
        <w:spacing w:line="360" w:lineRule="exact"/>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（1）双方协商，商户同意采用下列第（□</w:t>
      </w:r>
      <w:r>
        <w:rPr>
          <w:rFonts w:asciiTheme="minorEastAsia" w:hAnsiTheme="minorEastAsia" w:eastAsiaTheme="minorEastAsia"/>
          <w:color w:val="000000" w:themeColor="text1"/>
          <w14:textFill>
            <w14:solidFill>
              <w14:schemeClr w14:val="tx1"/>
            </w14:solidFill>
          </w14:textFill>
        </w:rPr>
        <w:t>a</w:t>
      </w:r>
      <w:r>
        <w:rPr>
          <w:rFonts w:hint="eastAsia" w:asciiTheme="minorEastAsia" w:hAnsiTheme="minorEastAsia" w:eastAsiaTheme="minorEastAsia"/>
          <w:color w:val="000000" w:themeColor="text1"/>
          <w14:textFill>
            <w14:solidFill>
              <w14:schemeClr w14:val="tx1"/>
            </w14:solidFill>
          </w14:textFill>
        </w:rPr>
        <w:t xml:space="preserve"> / ■</w:t>
      </w:r>
      <w:r>
        <w:rPr>
          <w:rFonts w:asciiTheme="minorEastAsia" w:hAnsiTheme="minorEastAsia" w:eastAsiaTheme="minorEastAsia"/>
          <w:color w:val="000000" w:themeColor="text1"/>
          <w14:textFill>
            <w14:solidFill>
              <w14:schemeClr w14:val="tx1"/>
            </w14:solidFill>
          </w14:textFill>
        </w:rPr>
        <w:t>b</w:t>
      </w:r>
      <w:r>
        <w:rPr>
          <w:rFonts w:hint="eastAsia" w:asciiTheme="minorEastAsia" w:hAnsiTheme="minorEastAsia" w:eastAsiaTheme="minorEastAsia"/>
          <w:color w:val="000000" w:themeColor="text1"/>
          <w14:textFill>
            <w14:solidFill>
              <w14:schemeClr w14:val="tx1"/>
            </w14:solidFill>
          </w14:textFill>
        </w:rPr>
        <w:t xml:space="preserve">）种合作方式： </w:t>
      </w:r>
    </w:p>
    <w:p>
      <w:pPr>
        <w:spacing w:line="360" w:lineRule="exact"/>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a</w:t>
      </w:r>
      <w:r>
        <w:rPr>
          <w:rFonts w:hint="eastAsia" w:asciiTheme="minorEastAsia" w:hAnsiTheme="minorEastAsia" w:eastAsiaTheme="minorEastAsia"/>
          <w:color w:val="000000" w:themeColor="text1"/>
          <w14:textFill>
            <w14:solidFill>
              <w14:schemeClr w14:val="tx1"/>
            </w14:solidFill>
          </w14:textFill>
        </w:rPr>
        <w:t>双方同意</w:t>
      </w:r>
      <w:r>
        <w:rPr>
          <w:rFonts w:hint="eastAsia" w:asciiTheme="minorEastAsia" w:hAnsiTheme="minorEastAsia"/>
          <w:color w:val="000000" w:themeColor="text1"/>
          <w14:textFill>
            <w14:solidFill>
              <w14:schemeClr w14:val="tx1"/>
            </w14:solidFill>
          </w14:textFill>
        </w:rPr>
        <w:t>将</w:t>
      </w:r>
      <w:r>
        <w:rPr>
          <w:rFonts w:hint="eastAsia" w:asciiTheme="minorEastAsia" w:hAnsiTheme="minorEastAsia" w:eastAsiaTheme="minorEastAsia"/>
          <w:color w:val="000000" w:themeColor="text1"/>
          <w14:textFill>
            <w14:solidFill>
              <w14:schemeClr w14:val="tx1"/>
            </w14:solidFill>
          </w14:textFill>
        </w:rPr>
        <w:t>编号为</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的商户当当店铺季度销售额目标设定为</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万元，自</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年</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月</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日起至</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年</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月</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日止。 此期间如商户某季度实际销售额低于上述目标，商户同意按其承诺的季度销售额目标的</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%于次季度首月向当当支付</w:t>
      </w:r>
      <w:r>
        <w:rPr>
          <w:rFonts w:hint="eastAsia" w:asciiTheme="minorEastAsia" w:hAnsiTheme="minorEastAsia"/>
          <w:color w:val="000000" w:themeColor="text1"/>
          <w14:textFill>
            <w14:solidFill>
              <w14:schemeClr w14:val="tx1"/>
            </w14:solidFill>
          </w14:textFill>
        </w:rPr>
        <w:t>增值</w:t>
      </w:r>
      <w:r>
        <w:rPr>
          <w:rFonts w:hint="eastAsia" w:asciiTheme="minorEastAsia" w:hAnsiTheme="minorEastAsia" w:eastAsiaTheme="minorEastAsia"/>
          <w:color w:val="000000" w:themeColor="text1"/>
          <w14:textFill>
            <w14:solidFill>
              <w14:schemeClr w14:val="tx1"/>
            </w14:solidFill>
          </w14:textFill>
        </w:rPr>
        <w:t>技术服务费以提升销售；</w:t>
      </w:r>
    </w:p>
    <w:p>
      <w:pPr>
        <w:spacing w:line="360" w:lineRule="exact"/>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color w:val="000000" w:themeColor="text1"/>
          <w:highlight w:val="yellow"/>
          <w14:textFill>
            <w14:solidFill>
              <w14:schemeClr w14:val="tx1"/>
            </w14:solidFill>
          </w14:textFill>
        </w:rPr>
        <w:t>b</w:t>
      </w:r>
      <w:r>
        <w:rPr>
          <w:rFonts w:hint="eastAsia" w:asciiTheme="minorEastAsia" w:hAnsiTheme="minorEastAsia" w:eastAsiaTheme="minorEastAsia"/>
          <w:color w:val="000000" w:themeColor="text1"/>
          <w:highlight w:val="yellow"/>
          <w14:textFill>
            <w14:solidFill>
              <w14:schemeClr w14:val="tx1"/>
            </w14:solidFill>
          </w14:textFill>
        </w:rPr>
        <w:t>商户同意自</w:t>
      </w:r>
      <w:r>
        <w:rPr>
          <w:rFonts w:hint="eastAsia" w:asciiTheme="minorEastAsia" w:hAnsiTheme="minorEastAsia" w:eastAsiaTheme="minorEastAsia"/>
          <w:color w:val="000000" w:themeColor="text1"/>
          <w:highlight w:val="yellow"/>
          <w:u w:val="single"/>
          <w14:textFill>
            <w14:solidFill>
              <w14:schemeClr w14:val="tx1"/>
            </w14:solidFill>
          </w14:textFill>
        </w:rPr>
        <w:t>__20</w:t>
      </w:r>
      <w:r>
        <w:rPr>
          <w:rFonts w:hint="eastAsia" w:asciiTheme="minorEastAsia" w:hAnsiTheme="minorEastAsia" w:eastAsiaTheme="minorEastAsia"/>
          <w:color w:val="000000" w:themeColor="text1"/>
          <w:highlight w:val="yellow"/>
          <w:u w:val="single"/>
          <w:lang w:val="en-US" w:eastAsia="zh-CN"/>
          <w14:textFill>
            <w14:solidFill>
              <w14:schemeClr w14:val="tx1"/>
            </w14:solidFill>
          </w14:textFill>
        </w:rPr>
        <w:t>20</w:t>
      </w:r>
      <w:r>
        <w:rPr>
          <w:rFonts w:hint="eastAsia" w:asciiTheme="minorEastAsia" w:hAnsiTheme="minorEastAsia" w:eastAsiaTheme="minorEastAsia"/>
          <w:color w:val="000000" w:themeColor="text1"/>
          <w:highlight w:val="yellow"/>
          <w:u w:val="single"/>
          <w14:textFill>
            <w14:solidFill>
              <w14:schemeClr w14:val="tx1"/>
            </w14:solidFill>
          </w14:textFill>
        </w:rPr>
        <w:t xml:space="preserve">  </w:t>
      </w:r>
      <w:r>
        <w:rPr>
          <w:rFonts w:hint="eastAsia" w:asciiTheme="minorEastAsia" w:hAnsiTheme="minorEastAsia" w:eastAsiaTheme="minorEastAsia"/>
          <w:color w:val="000000" w:themeColor="text1"/>
          <w:highlight w:val="yellow"/>
          <w14:textFill>
            <w14:solidFill>
              <w14:schemeClr w14:val="tx1"/>
            </w14:solidFill>
          </w14:textFill>
        </w:rPr>
        <w:t>_年____1</w:t>
      </w:r>
      <w:r>
        <w:rPr>
          <w:rFonts w:hint="eastAsia" w:asciiTheme="minorEastAsia" w:hAnsiTheme="minorEastAsia" w:eastAsiaTheme="minorEastAsia"/>
          <w:color w:val="000000" w:themeColor="text1"/>
          <w:highlight w:val="yellow"/>
          <w:lang w:val="en-US" w:eastAsia="zh-CN"/>
          <w14:textFill>
            <w14:solidFill>
              <w14:schemeClr w14:val="tx1"/>
            </w14:solidFill>
          </w14:textFill>
        </w:rPr>
        <w:t>2</w:t>
      </w:r>
      <w:r>
        <w:rPr>
          <w:rFonts w:hint="eastAsia" w:asciiTheme="minorEastAsia" w:hAnsiTheme="minorEastAsia" w:eastAsiaTheme="minorEastAsia"/>
          <w:color w:val="000000" w:themeColor="text1"/>
          <w:highlight w:val="yellow"/>
          <w14:textFill>
            <w14:solidFill>
              <w14:schemeClr w14:val="tx1"/>
            </w14:solidFill>
          </w14:textFill>
        </w:rPr>
        <w:t>___月____</w:t>
      </w:r>
      <w:r>
        <w:rPr>
          <w:rFonts w:hint="eastAsia" w:asciiTheme="minorEastAsia" w:hAnsiTheme="minorEastAsia" w:eastAsiaTheme="minorEastAsia"/>
          <w:color w:val="000000" w:themeColor="text1"/>
          <w:highlight w:val="yellow"/>
          <w:lang w:val="en-US" w:eastAsia="zh-CN"/>
          <w14:textFill>
            <w14:solidFill>
              <w14:schemeClr w14:val="tx1"/>
            </w14:solidFill>
          </w14:textFill>
        </w:rPr>
        <w:t>15</w:t>
      </w:r>
      <w:r>
        <w:rPr>
          <w:rFonts w:hint="eastAsia" w:asciiTheme="minorEastAsia" w:hAnsiTheme="minorEastAsia" w:eastAsiaTheme="minorEastAsia"/>
          <w:color w:val="000000" w:themeColor="text1"/>
          <w:highlight w:val="yellow"/>
          <w14:textFill>
            <w14:solidFill>
              <w14:schemeClr w14:val="tx1"/>
            </w14:solidFill>
          </w14:textFill>
        </w:rPr>
        <w:t>__日起至__2</w:t>
      </w:r>
      <w:r>
        <w:rPr>
          <w:rFonts w:hint="eastAsia" w:asciiTheme="minorEastAsia" w:hAnsiTheme="minorEastAsia" w:eastAsiaTheme="minorEastAsia"/>
          <w:color w:val="000000" w:themeColor="text1"/>
          <w:highlight w:val="yellow"/>
          <w:u w:val="single"/>
          <w14:textFill>
            <w14:solidFill>
              <w14:schemeClr w14:val="tx1"/>
            </w14:solidFill>
          </w14:textFill>
        </w:rPr>
        <w:t>021</w:t>
      </w:r>
      <w:r>
        <w:rPr>
          <w:rFonts w:hint="eastAsia" w:asciiTheme="minorEastAsia" w:hAnsiTheme="minorEastAsia" w:eastAsiaTheme="minorEastAsia"/>
          <w:color w:val="000000" w:themeColor="text1"/>
          <w:highlight w:val="yellow"/>
          <w14:textFill>
            <w14:solidFill>
              <w14:schemeClr w14:val="tx1"/>
            </w14:solidFill>
          </w14:textFill>
        </w:rPr>
        <w:t>____年___12____月__31__日止，每月按照其上月实际销售额_</w:t>
      </w:r>
      <w:r>
        <w:rPr>
          <w:rFonts w:hint="eastAsia" w:asciiTheme="minorEastAsia" w:hAnsiTheme="minorEastAsia" w:eastAsiaTheme="minorEastAsia"/>
          <w:color w:val="000000" w:themeColor="text1"/>
          <w:highlight w:val="yellow"/>
          <w:u w:val="single"/>
          <w:lang w:val="en-US" w:eastAsia="zh-CN"/>
          <w14:textFill>
            <w14:solidFill>
              <w14:schemeClr w14:val="tx1"/>
            </w14:solidFill>
          </w14:textFill>
        </w:rPr>
        <w:t>2</w:t>
      </w:r>
      <w:r>
        <w:rPr>
          <w:rFonts w:hint="eastAsia" w:asciiTheme="minorEastAsia" w:hAnsiTheme="minorEastAsia" w:eastAsiaTheme="minorEastAsia"/>
          <w:color w:val="000000" w:themeColor="text1"/>
          <w:highlight w:val="yellow"/>
          <w:u w:val="single"/>
          <w14:textFill>
            <w14:solidFill>
              <w14:schemeClr w14:val="tx1"/>
            </w14:solidFill>
          </w14:textFill>
        </w:rPr>
        <w:t>_</w:t>
      </w:r>
      <w:r>
        <w:rPr>
          <w:rFonts w:hint="eastAsia" w:asciiTheme="minorEastAsia" w:hAnsiTheme="minorEastAsia" w:eastAsiaTheme="minorEastAsia"/>
          <w:color w:val="000000" w:themeColor="text1"/>
          <w:highlight w:val="yellow"/>
          <w14:textFill>
            <w14:solidFill>
              <w14:schemeClr w14:val="tx1"/>
            </w14:solidFill>
          </w14:textFill>
        </w:rPr>
        <w:t>%向当当交纳</w:t>
      </w:r>
      <w:r>
        <w:rPr>
          <w:rFonts w:hint="eastAsia" w:asciiTheme="minorEastAsia" w:hAnsiTheme="minorEastAsia"/>
          <w:color w:val="000000" w:themeColor="text1"/>
          <w:highlight w:val="yellow"/>
          <w14:textFill>
            <w14:solidFill>
              <w14:schemeClr w14:val="tx1"/>
            </w14:solidFill>
          </w14:textFill>
        </w:rPr>
        <w:t>增值</w:t>
      </w:r>
      <w:r>
        <w:rPr>
          <w:rFonts w:hint="eastAsia" w:asciiTheme="minorEastAsia" w:hAnsiTheme="minorEastAsia" w:eastAsiaTheme="minorEastAsia"/>
          <w:color w:val="000000" w:themeColor="text1"/>
          <w:highlight w:val="yellow"/>
          <w14:textFill>
            <w14:solidFill>
              <w14:schemeClr w14:val="tx1"/>
            </w14:solidFill>
          </w14:textFill>
        </w:rPr>
        <w:t>技术服务费以提升销售。商户同意，因各项</w:t>
      </w:r>
      <w:r>
        <w:rPr>
          <w:rFonts w:hint="eastAsia" w:asciiTheme="minorEastAsia" w:hAnsiTheme="minorEastAsia"/>
          <w:color w:val="000000" w:themeColor="text1"/>
          <w:highlight w:val="yellow"/>
          <w14:textFill>
            <w14:solidFill>
              <w14:schemeClr w14:val="tx1"/>
            </w14:solidFill>
          </w14:textFill>
        </w:rPr>
        <w:t>增值</w:t>
      </w:r>
      <w:r>
        <w:rPr>
          <w:rFonts w:hint="eastAsia" w:asciiTheme="minorEastAsia" w:hAnsiTheme="minorEastAsia" w:eastAsiaTheme="minorEastAsia"/>
          <w:color w:val="000000" w:themeColor="text1"/>
          <w:highlight w:val="yellow"/>
          <w14:textFill>
            <w14:solidFill>
              <w14:schemeClr w14:val="tx1"/>
            </w14:solidFill>
          </w14:textFill>
        </w:rPr>
        <w:t>技术</w:t>
      </w:r>
      <w:r>
        <w:rPr>
          <w:rFonts w:hint="eastAsia" w:asciiTheme="minorEastAsia" w:hAnsiTheme="minorEastAsia"/>
          <w:color w:val="000000" w:themeColor="text1"/>
          <w:highlight w:val="yellow"/>
          <w14:textFill>
            <w14:solidFill>
              <w14:schemeClr w14:val="tx1"/>
            </w14:solidFill>
          </w14:textFill>
        </w:rPr>
        <w:t>服务</w:t>
      </w:r>
      <w:r>
        <w:rPr>
          <w:rFonts w:hint="eastAsia" w:asciiTheme="minorEastAsia" w:hAnsiTheme="minorEastAsia" w:eastAsiaTheme="minorEastAsia"/>
          <w:color w:val="000000" w:themeColor="text1"/>
          <w:highlight w:val="yellow"/>
          <w14:textFill>
            <w14:solidFill>
              <w14:schemeClr w14:val="tx1"/>
            </w14:solidFill>
          </w14:textFill>
        </w:rPr>
        <w:t>费用统计算法复杂，当当不需要就此提供</w:t>
      </w:r>
      <w:r>
        <w:rPr>
          <w:rFonts w:hint="eastAsia" w:asciiTheme="minorEastAsia" w:hAnsiTheme="minorEastAsia"/>
          <w:color w:val="000000" w:themeColor="text1"/>
          <w:highlight w:val="yellow"/>
          <w14:textFill>
            <w14:solidFill>
              <w14:schemeClr w14:val="tx1"/>
            </w14:solidFill>
          </w14:textFill>
        </w:rPr>
        <w:t>增值</w:t>
      </w:r>
      <w:r>
        <w:rPr>
          <w:rFonts w:hint="eastAsia" w:asciiTheme="minorEastAsia" w:hAnsiTheme="minorEastAsia" w:eastAsiaTheme="minorEastAsia"/>
          <w:color w:val="000000" w:themeColor="text1"/>
          <w:highlight w:val="yellow"/>
          <w14:textFill>
            <w14:solidFill>
              <w14:schemeClr w14:val="tx1"/>
            </w14:solidFill>
          </w14:textFill>
        </w:rPr>
        <w:t>技术服务费明细；商户如对</w:t>
      </w:r>
      <w:r>
        <w:rPr>
          <w:rFonts w:hint="eastAsia" w:asciiTheme="minorEastAsia" w:hAnsiTheme="minorEastAsia"/>
          <w:color w:val="000000" w:themeColor="text1"/>
          <w:highlight w:val="yellow"/>
          <w14:textFill>
            <w14:solidFill>
              <w14:schemeClr w14:val="tx1"/>
            </w14:solidFill>
          </w14:textFill>
        </w:rPr>
        <w:t>增值</w:t>
      </w:r>
      <w:r>
        <w:rPr>
          <w:rFonts w:hint="eastAsia" w:asciiTheme="minorEastAsia" w:hAnsiTheme="minorEastAsia" w:eastAsiaTheme="minorEastAsia"/>
          <w:color w:val="000000" w:themeColor="text1"/>
          <w:highlight w:val="yellow"/>
          <w14:textFill>
            <w14:solidFill>
              <w14:schemeClr w14:val="tx1"/>
            </w14:solidFill>
          </w14:textFill>
        </w:rPr>
        <w:t>技术服务费有异议，应当在下月10日之前向当当提出，否则视为认可当月的</w:t>
      </w:r>
      <w:r>
        <w:rPr>
          <w:rFonts w:hint="eastAsia" w:asciiTheme="minorEastAsia" w:hAnsiTheme="minorEastAsia"/>
          <w:color w:val="000000" w:themeColor="text1"/>
          <w:highlight w:val="yellow"/>
          <w14:textFill>
            <w14:solidFill>
              <w14:schemeClr w14:val="tx1"/>
            </w14:solidFill>
          </w14:textFill>
        </w:rPr>
        <w:t>增值</w:t>
      </w:r>
      <w:r>
        <w:rPr>
          <w:rFonts w:hint="eastAsia" w:asciiTheme="minorEastAsia" w:hAnsiTheme="minorEastAsia" w:eastAsiaTheme="minorEastAsia"/>
          <w:color w:val="000000" w:themeColor="text1"/>
          <w:highlight w:val="yellow"/>
          <w14:textFill>
            <w14:solidFill>
              <w14:schemeClr w14:val="tx1"/>
            </w14:solidFill>
          </w14:textFill>
        </w:rPr>
        <w:t>技术服务费。</w:t>
      </w:r>
    </w:p>
    <w:p>
      <w:pPr>
        <w:spacing w:line="360" w:lineRule="exact"/>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(2)</w:t>
      </w:r>
      <w:r>
        <w:rPr>
          <w:rFonts w:hint="eastAsia" w:asciiTheme="minorEastAsia" w:hAnsiTheme="minorEastAsia" w:eastAsiaTheme="minorEastAsia"/>
          <w:color w:val="000000" w:themeColor="text1"/>
          <w14:textFill>
            <w14:solidFill>
              <w14:schemeClr w14:val="tx1"/>
            </w14:solidFill>
          </w14:textFill>
        </w:rPr>
        <w:t>为更好开展促销活动，商户同意自</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年</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月</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日起至</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年</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月</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日止，每月按照商户上月实际销售额的</w:t>
      </w:r>
      <w:r>
        <w:rPr>
          <w:rFonts w:hint="eastAsia" w:ascii="宋体" w:hAnsi="宋体"/>
          <w:color w:val="000000" w:themeColor="text1"/>
          <w:szCs w:val="21"/>
          <w14:textFill>
            <w14:solidFill>
              <w14:schemeClr w14:val="tx1"/>
            </w14:solidFill>
          </w14:textFill>
        </w:rPr>
        <w:t>___/_____</w:t>
      </w:r>
      <w:r>
        <w:rPr>
          <w:rFonts w:hint="eastAsia" w:asciiTheme="minorEastAsia" w:hAnsiTheme="minorEastAsia" w:eastAsiaTheme="minorEastAsia"/>
          <w:color w:val="000000" w:themeColor="text1"/>
          <w14:textFill>
            <w14:solidFill>
              <w14:schemeClr w14:val="tx1"/>
            </w14:solidFill>
          </w14:textFill>
        </w:rPr>
        <w:t>%向当当交纳固定</w:t>
      </w:r>
      <w:r>
        <w:rPr>
          <w:rFonts w:hint="eastAsia" w:asciiTheme="minorEastAsia" w:hAnsiTheme="minorEastAsia"/>
          <w:color w:val="000000" w:themeColor="text1"/>
          <w14:textFill>
            <w14:solidFill>
              <w14:schemeClr w14:val="tx1"/>
            </w14:solidFill>
          </w14:textFill>
        </w:rPr>
        <w:t>增值</w:t>
      </w:r>
      <w:r>
        <w:rPr>
          <w:rFonts w:hint="eastAsia" w:asciiTheme="minorEastAsia" w:hAnsiTheme="minorEastAsia" w:eastAsiaTheme="minorEastAsia"/>
          <w:color w:val="000000" w:themeColor="text1"/>
          <w14:textFill>
            <w14:solidFill>
              <w14:schemeClr w14:val="tx1"/>
            </w14:solidFill>
          </w14:textFill>
        </w:rPr>
        <w:t>技术服务费。</w:t>
      </w:r>
    </w:p>
    <w:p>
      <w:pPr>
        <w:spacing w:line="360" w:lineRule="exact"/>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(3)</w:t>
      </w:r>
      <w:r>
        <w:rPr>
          <w:rFonts w:hint="eastAsia" w:asciiTheme="minorEastAsia" w:hAnsiTheme="minorEastAsia" w:eastAsiaTheme="minorEastAsia"/>
          <w:color w:val="000000" w:themeColor="text1"/>
          <w14:textFill>
            <w14:solidFill>
              <w14:schemeClr w14:val="tx1"/>
            </w14:solidFill>
          </w14:textFill>
        </w:rPr>
        <w:t>付费方式及发票：本协议中的费用以账扣方式实现，当商户货款不足应扣款数额时，当当有权通知商户以支票</w:t>
      </w:r>
      <w:r>
        <w:rPr>
          <w:rFonts w:hint="eastAsia" w:asciiTheme="minorEastAsia" w:hAnsiTheme="minorEastAsia"/>
          <w:color w:val="000000" w:themeColor="text1"/>
          <w14:textFill>
            <w14:solidFill>
              <w14:schemeClr w14:val="tx1"/>
            </w14:solidFill>
          </w14:textFill>
        </w:rPr>
        <w:t>、银行汇款</w:t>
      </w:r>
      <w:r>
        <w:rPr>
          <w:rFonts w:hint="eastAsia" w:asciiTheme="minorEastAsia" w:hAnsiTheme="minorEastAsia" w:eastAsiaTheme="minorEastAsia"/>
          <w:color w:val="000000" w:themeColor="text1"/>
          <w14:textFill>
            <w14:solidFill>
              <w14:schemeClr w14:val="tx1"/>
            </w14:solidFill>
          </w14:textFill>
        </w:rPr>
        <w:t>或现金方式交付，</w:t>
      </w:r>
      <w:r>
        <w:rPr>
          <w:rFonts w:hint="eastAsia" w:asciiTheme="minorEastAsia" w:hAnsiTheme="minorEastAsia"/>
          <w:color w:val="000000" w:themeColor="text1"/>
          <w14:textFill>
            <w14:solidFill>
              <w14:schemeClr w14:val="tx1"/>
            </w14:solidFill>
          </w14:textFill>
        </w:rPr>
        <w:t>增值</w:t>
      </w:r>
      <w:r>
        <w:rPr>
          <w:rFonts w:hint="eastAsia" w:asciiTheme="minorEastAsia" w:hAnsiTheme="minorEastAsia" w:eastAsiaTheme="minorEastAsia"/>
          <w:color w:val="000000" w:themeColor="text1"/>
          <w14:textFill>
            <w14:solidFill>
              <w14:schemeClr w14:val="tx1"/>
            </w14:solidFill>
          </w14:textFill>
        </w:rPr>
        <w:t>技术服务费</w:t>
      </w:r>
      <w:r>
        <w:rPr>
          <w:rFonts w:hint="eastAsia" w:asciiTheme="minorEastAsia" w:hAnsiTheme="minorEastAsia" w:eastAsiaTheme="minorEastAsia"/>
          <w:b/>
          <w:color w:val="000000" w:themeColor="text1"/>
          <w14:textFill>
            <w14:solidFill>
              <w14:schemeClr w14:val="tx1"/>
            </w14:solidFill>
          </w14:textFill>
        </w:rPr>
        <w:t>不予退还。</w:t>
      </w:r>
      <w:r>
        <w:rPr>
          <w:rFonts w:hint="eastAsia" w:asciiTheme="minorEastAsia" w:hAnsiTheme="minorEastAsia" w:eastAsiaTheme="minorEastAsia"/>
          <w:color w:val="000000" w:themeColor="text1"/>
          <w14:textFill>
            <w14:solidFill>
              <w14:schemeClr w14:val="tx1"/>
            </w14:solidFill>
          </w14:textFill>
        </w:rPr>
        <w:t>商户向当当交纳的支票或汇款的银行单据不能作为商户已交纳费用的凭据，当当按本协议约定给商户开具的发票是商户已向当当交纳该费用的唯一凭据。</w:t>
      </w:r>
    </w:p>
    <w:p>
      <w:pPr>
        <w:widowControl/>
        <w:spacing w:before="93" w:beforeLines="30" w:after="93" w:afterLines="30" w:line="320" w:lineRule="atLeast"/>
        <w:ind w:firstLine="422" w:firstLineChars="200"/>
        <w:jc w:val="left"/>
        <w:rPr>
          <w:rFonts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6.4当当账户信息</w:t>
      </w:r>
    </w:p>
    <w:p>
      <w:pPr>
        <w:widowControl/>
        <w:tabs>
          <w:tab w:val="left" w:pos="0"/>
        </w:tabs>
        <w:spacing w:line="360" w:lineRule="exact"/>
        <w:ind w:left="425"/>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户名：北京当当科文电子商务有限公司</w:t>
      </w:r>
    </w:p>
    <w:p>
      <w:pPr>
        <w:widowControl/>
        <w:tabs>
          <w:tab w:val="left" w:pos="0"/>
        </w:tabs>
        <w:spacing w:line="360" w:lineRule="exact"/>
        <w:ind w:left="425"/>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账号：110902055910701</w:t>
      </w:r>
    </w:p>
    <w:p>
      <w:pPr>
        <w:widowControl/>
        <w:tabs>
          <w:tab w:val="left" w:pos="0"/>
        </w:tabs>
        <w:spacing w:line="360" w:lineRule="exact"/>
        <w:ind w:left="425"/>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开户行：招商银行北京静安里支行</w:t>
      </w:r>
    </w:p>
    <w:p>
      <w:pPr>
        <w:pStyle w:val="3"/>
        <w:spacing w:before="156" w:beforeLines="50" w:after="156" w:afterLines="50" w:line="360" w:lineRule="exact"/>
        <w:ind w:left="0" w:firstLine="0"/>
        <w:jc w:val="left"/>
        <w:rPr>
          <w:sz w:val="21"/>
          <w:szCs w:val="21"/>
        </w:rPr>
      </w:pPr>
      <w:r>
        <w:rPr>
          <w:rFonts w:hint="eastAsia"/>
          <w:sz w:val="21"/>
          <w:szCs w:val="21"/>
        </w:rPr>
        <w:t>7.商户管理及服务规范</w:t>
      </w:r>
    </w:p>
    <w:p>
      <w:pPr>
        <w:pStyle w:val="32"/>
        <w:widowControl/>
        <w:tabs>
          <w:tab w:val="left" w:pos="1134"/>
        </w:tabs>
        <w:snapToGrid w:val="0"/>
        <w:spacing w:before="93" w:beforeLines="30" w:after="93" w:afterLines="30" w:line="360" w:lineRule="exact"/>
        <w:ind w:left="23" w:firstLine="422"/>
        <w:rPr>
          <w:rFonts w:ascii="宋体" w:hAnsi="宋体"/>
          <w:b/>
          <w:szCs w:val="21"/>
        </w:rPr>
      </w:pPr>
      <w:r>
        <w:rPr>
          <w:rFonts w:hint="eastAsia" w:ascii="宋体" w:hAnsi="宋体"/>
          <w:b/>
          <w:szCs w:val="21"/>
        </w:rPr>
        <w:t>7.1 商户入驻</w:t>
      </w:r>
    </w:p>
    <w:p>
      <w:pPr>
        <w:widowControl/>
        <w:tabs>
          <w:tab w:val="left" w:pos="1134"/>
        </w:tabs>
        <w:snapToGrid w:val="0"/>
        <w:spacing w:line="360" w:lineRule="exact"/>
        <w:ind w:firstLine="422"/>
        <w:rPr>
          <w:rFonts w:ascii="宋体" w:hAnsi="宋体"/>
          <w:szCs w:val="21"/>
        </w:rPr>
      </w:pPr>
      <w:r>
        <w:rPr>
          <w:rFonts w:hint="eastAsia" w:ascii="宋体" w:hAnsi="宋体"/>
          <w:szCs w:val="21"/>
        </w:rPr>
        <w:t>7.1.1当当为商户提供交易平台（包括商品展示系统、商品销售系统、网上支付系统、积分软件系统、后台管理系统）及相应的技术支持。</w:t>
      </w:r>
    </w:p>
    <w:p>
      <w:pPr>
        <w:widowControl/>
        <w:tabs>
          <w:tab w:val="left" w:pos="1134"/>
        </w:tabs>
        <w:snapToGrid w:val="0"/>
        <w:spacing w:line="360" w:lineRule="exact"/>
        <w:ind w:firstLine="422"/>
        <w:rPr>
          <w:rFonts w:ascii="宋体" w:hAnsi="宋体"/>
          <w:szCs w:val="21"/>
        </w:rPr>
      </w:pPr>
      <w:r>
        <w:rPr>
          <w:rFonts w:hint="eastAsia" w:ascii="宋体" w:hAnsi="宋体"/>
          <w:szCs w:val="21"/>
        </w:rPr>
        <w:t>7.1.2 当当服务按“现状”和“可得到”的状态提供。商户在确认接受本协议并开通当当服务前已充分了解当当平台的功能和服务特性并同意当当无须就已存在的软件瑕疵、功能不足或任何需改进事项对商户承担任何责任。</w:t>
      </w:r>
    </w:p>
    <w:p>
      <w:pPr>
        <w:pStyle w:val="32"/>
        <w:widowControl/>
        <w:tabs>
          <w:tab w:val="left" w:pos="1134"/>
        </w:tabs>
        <w:snapToGrid w:val="0"/>
        <w:spacing w:line="360" w:lineRule="exact"/>
        <w:rPr>
          <w:rFonts w:ascii="宋体" w:hAnsi="宋体"/>
          <w:szCs w:val="21"/>
        </w:rPr>
      </w:pPr>
      <w:r>
        <w:rPr>
          <w:rFonts w:hint="eastAsia" w:ascii="宋体" w:hAnsi="宋体"/>
          <w:szCs w:val="21"/>
        </w:rPr>
        <w:t>7.1.3 当当有权对商户注册数据、发布的信息和交易行为进行查阅，对发现的违法违规内容有权不经通知即删除，并将商户的违法违规行为在交易平台上公布；对发现的其他问题或疑问有权向商户发出询问及要求改正的通知，商户应在接到通知后立即做出说明或改正。对于商户的上述违约行为，当当有权追究其违约、侵权责任并/或解除本协议。</w:t>
      </w:r>
    </w:p>
    <w:p>
      <w:pPr>
        <w:pStyle w:val="32"/>
        <w:widowControl/>
        <w:tabs>
          <w:tab w:val="left" w:pos="1134"/>
        </w:tabs>
        <w:snapToGrid w:val="0"/>
        <w:spacing w:line="360" w:lineRule="exact"/>
        <w:ind w:firstLine="424" w:firstLineChars="202"/>
        <w:rPr>
          <w:rFonts w:ascii="宋体" w:hAnsi="宋体"/>
          <w:szCs w:val="21"/>
        </w:rPr>
      </w:pPr>
      <w:r>
        <w:rPr>
          <w:rFonts w:hint="eastAsia" w:ascii="宋体" w:hAnsi="宋体"/>
          <w:szCs w:val="21"/>
        </w:rPr>
        <w:t>7.1.4 商户保证接受并遵守当当交易平台上公示的各项规则，并保证向当当提供的所有商品信息和其发布于当当交易平台上的所有信息真实、准确，合法，符合公序良俗。</w:t>
      </w:r>
    </w:p>
    <w:p>
      <w:pPr>
        <w:pStyle w:val="32"/>
        <w:widowControl/>
        <w:tabs>
          <w:tab w:val="left" w:pos="1134"/>
        </w:tabs>
        <w:snapToGrid w:val="0"/>
        <w:spacing w:line="360" w:lineRule="exact"/>
        <w:ind w:firstLine="424" w:firstLineChars="202"/>
        <w:rPr>
          <w:rFonts w:ascii="宋体" w:hAnsi="宋体"/>
          <w:szCs w:val="21"/>
        </w:rPr>
      </w:pPr>
      <w:r>
        <w:rPr>
          <w:rFonts w:hint="eastAsia" w:ascii="宋体" w:hAnsi="宋体"/>
          <w:szCs w:val="21"/>
        </w:rPr>
        <w:t>7.1.5商户保证在使用服务进行交易的过程中遵守诚实信用原则，不在交易过程中采取虚假宣传等不正当竞争行为，不扰乱网上交易的正常秩序，不从事与网上交易无关的行为。</w:t>
      </w:r>
    </w:p>
    <w:p>
      <w:pPr>
        <w:pStyle w:val="32"/>
        <w:widowControl/>
        <w:tabs>
          <w:tab w:val="left" w:pos="1134"/>
        </w:tabs>
        <w:snapToGrid w:val="0"/>
        <w:spacing w:before="93" w:beforeLines="30" w:after="93" w:afterLines="30" w:line="360" w:lineRule="exact"/>
        <w:ind w:left="23" w:firstLine="422"/>
        <w:rPr>
          <w:rFonts w:ascii="宋体" w:hAnsi="宋体"/>
          <w:b/>
          <w:szCs w:val="21"/>
        </w:rPr>
      </w:pPr>
      <w:r>
        <w:rPr>
          <w:rFonts w:hint="eastAsia" w:ascii="宋体" w:hAnsi="宋体"/>
          <w:b/>
          <w:szCs w:val="21"/>
        </w:rPr>
        <w:t>7.2 平台管理</w:t>
      </w:r>
    </w:p>
    <w:p>
      <w:pPr>
        <w:pStyle w:val="32"/>
        <w:widowControl/>
        <w:tabs>
          <w:tab w:val="left" w:pos="1134"/>
        </w:tabs>
        <w:snapToGrid w:val="0"/>
        <w:spacing w:line="360" w:lineRule="exact"/>
        <w:rPr>
          <w:rFonts w:ascii="宋体" w:hAnsi="宋体"/>
          <w:szCs w:val="21"/>
        </w:rPr>
      </w:pPr>
      <w:r>
        <w:rPr>
          <w:rFonts w:hint="eastAsia" w:ascii="宋体" w:hAnsi="宋体"/>
          <w:szCs w:val="21"/>
        </w:rPr>
        <w:t>7.2.1当当有权让第三方代当当履行本协议下的权利和义务或有权将本协议下为其所设定的权利和义务转让给第三方。</w:t>
      </w:r>
    </w:p>
    <w:p>
      <w:pPr>
        <w:pStyle w:val="32"/>
        <w:widowControl/>
        <w:tabs>
          <w:tab w:val="left" w:pos="1134"/>
        </w:tabs>
        <w:snapToGrid w:val="0"/>
        <w:spacing w:line="360" w:lineRule="exact"/>
        <w:rPr>
          <w:rFonts w:ascii="宋体" w:hAnsi="宋体"/>
          <w:szCs w:val="21"/>
        </w:rPr>
      </w:pPr>
      <w:r>
        <w:rPr>
          <w:rFonts w:hint="eastAsia" w:ascii="宋体" w:hAnsi="宋体"/>
          <w:szCs w:val="21"/>
        </w:rPr>
        <w:t>7.2.2 当当有权将提供给商户的资源和服务提供给商户之外的任何第三方。</w:t>
      </w:r>
    </w:p>
    <w:p>
      <w:pPr>
        <w:pStyle w:val="32"/>
        <w:widowControl/>
        <w:tabs>
          <w:tab w:val="left" w:pos="1134"/>
        </w:tabs>
        <w:snapToGrid w:val="0"/>
        <w:spacing w:line="360" w:lineRule="exact"/>
        <w:rPr>
          <w:rFonts w:ascii="宋体" w:hAnsi="宋体"/>
          <w:szCs w:val="21"/>
        </w:rPr>
      </w:pPr>
      <w:r>
        <w:rPr>
          <w:rFonts w:hint="eastAsia" w:ascii="宋体" w:hAnsi="宋体"/>
          <w:szCs w:val="21"/>
        </w:rPr>
        <w:t>7.2.3 当当无义务参与或解决商户与用户之间因网络交易而产生的任何纠纷。但当当可为双方解决争议纠纷提供便利。</w:t>
      </w:r>
    </w:p>
    <w:p>
      <w:pPr>
        <w:pStyle w:val="32"/>
        <w:widowControl/>
        <w:tabs>
          <w:tab w:val="left" w:pos="1134"/>
        </w:tabs>
        <w:snapToGrid w:val="0"/>
        <w:spacing w:line="360" w:lineRule="exact"/>
        <w:rPr>
          <w:rFonts w:ascii="宋体" w:hAnsi="宋体"/>
          <w:szCs w:val="21"/>
        </w:rPr>
      </w:pPr>
      <w:r>
        <w:rPr>
          <w:rFonts w:hint="eastAsia" w:ascii="宋体" w:hAnsi="宋体"/>
          <w:szCs w:val="21"/>
        </w:rPr>
        <w:t>7.2.4 当当有权为双方按本协议约定方式销售的商品办理相关保险，并有权要求商户协助办理投保和理赔等手续。</w:t>
      </w:r>
    </w:p>
    <w:p>
      <w:pPr>
        <w:widowControl/>
        <w:spacing w:line="360" w:lineRule="exact"/>
        <w:ind w:firstLine="400"/>
        <w:jc w:val="left"/>
        <w:rPr>
          <w:rFonts w:ascii="宋体" w:hAnsi="宋体"/>
          <w:szCs w:val="21"/>
        </w:rPr>
      </w:pPr>
      <w:r>
        <w:rPr>
          <w:rFonts w:hint="eastAsia" w:ascii="宋体" w:hAnsi="宋体"/>
          <w:szCs w:val="21"/>
        </w:rPr>
        <w:t>7.2.5商户承诺在店铺中所发布的所有信息及实施的所有行为均符合相关法律法规、国家强制性标准要求及本协议约定，并对其店铺负有管理义务，对其店铺中出现的违反国家有关法律法规规定及本协议约定的信息须立即删除。</w:t>
      </w:r>
    </w:p>
    <w:p>
      <w:pPr>
        <w:widowControl/>
        <w:spacing w:line="360" w:lineRule="exact"/>
        <w:ind w:firstLine="420" w:firstLineChars="200"/>
        <w:jc w:val="left"/>
        <w:rPr>
          <w:rFonts w:ascii="宋体" w:hAnsi="宋体"/>
          <w:szCs w:val="21"/>
        </w:rPr>
      </w:pPr>
      <w:r>
        <w:rPr>
          <w:rFonts w:hint="eastAsia" w:ascii="宋体" w:hAnsi="宋体"/>
          <w:szCs w:val="21"/>
        </w:rPr>
        <w:t>7.2.6商户承诺拥有合法权利和资格发布有关商品销售信息并进行销售，且前述行为未对任何第三方合法权益（包括知识产权、物权、肖像权等）构成侵害。商户认可当当对商品来源的不定期检查，并有义务保留进货来源凭证。对于无法提供合法进货来源凭证的，当当将根据实际情况如消费者反馈、商标权人或第三方鉴定机构鉴定结果、商户的商品信息及交易数据等对商品的真伪作出判断，商户同意对此承担举证不能的不利后果。</w:t>
      </w:r>
    </w:p>
    <w:p>
      <w:pPr>
        <w:pStyle w:val="32"/>
        <w:widowControl/>
        <w:tabs>
          <w:tab w:val="left" w:pos="1134"/>
        </w:tabs>
        <w:snapToGrid w:val="0"/>
        <w:spacing w:line="360" w:lineRule="exact"/>
        <w:rPr>
          <w:rFonts w:ascii="宋体" w:hAnsi="宋体"/>
          <w:szCs w:val="21"/>
        </w:rPr>
      </w:pPr>
      <w:r>
        <w:rPr>
          <w:rFonts w:hint="eastAsia" w:ascii="宋体" w:hAnsi="宋体"/>
          <w:szCs w:val="21"/>
        </w:rPr>
        <w:t>7.2.7 商户同意不将当当所有的任何数据用于本协议约定用途以外，包括但不限于未经当当书面许可，以复制、传播等方式使用在交易平台上的任何资料。</w:t>
      </w:r>
    </w:p>
    <w:p>
      <w:pPr>
        <w:widowControl/>
        <w:tabs>
          <w:tab w:val="left" w:pos="426"/>
        </w:tabs>
        <w:snapToGrid w:val="0"/>
        <w:spacing w:line="360" w:lineRule="exact"/>
        <w:ind w:firstLine="420" w:firstLineChars="200"/>
        <w:rPr>
          <w:rFonts w:ascii="宋体" w:hAnsi="宋体"/>
          <w:szCs w:val="21"/>
        </w:rPr>
      </w:pPr>
      <w:r>
        <w:rPr>
          <w:rFonts w:hint="eastAsia" w:ascii="宋体" w:hAnsi="宋体"/>
          <w:szCs w:val="21"/>
        </w:rPr>
        <w:t>7.2.8非当当原因造成的系统自动退款等损失，商户承诺均自行承担。</w:t>
      </w:r>
    </w:p>
    <w:p>
      <w:pPr>
        <w:pStyle w:val="32"/>
        <w:widowControl/>
        <w:tabs>
          <w:tab w:val="left" w:pos="1134"/>
        </w:tabs>
        <w:snapToGrid w:val="0"/>
        <w:spacing w:line="360" w:lineRule="exact"/>
        <w:rPr>
          <w:rFonts w:ascii="宋体" w:hAnsi="宋体"/>
          <w:szCs w:val="21"/>
        </w:rPr>
      </w:pPr>
      <w:r>
        <w:rPr>
          <w:rFonts w:hint="eastAsia" w:ascii="宋体" w:hAnsi="宋体"/>
          <w:szCs w:val="21"/>
        </w:rPr>
        <w:t>7.2.9 商户同意对其未及时通知或未及时更新信息承担全部责任，如因此给当当（包括其合作伙伴、代理人、职员等）造成损失的，商户同意全部赔偿。</w:t>
      </w:r>
    </w:p>
    <w:p>
      <w:pPr>
        <w:pStyle w:val="32"/>
        <w:widowControl/>
        <w:tabs>
          <w:tab w:val="left" w:pos="1134"/>
        </w:tabs>
        <w:snapToGrid w:val="0"/>
        <w:spacing w:line="360" w:lineRule="exact"/>
        <w:rPr>
          <w:rFonts w:ascii="宋体" w:hAnsi="宋体"/>
          <w:szCs w:val="21"/>
        </w:rPr>
      </w:pPr>
      <w:r>
        <w:rPr>
          <w:rFonts w:hint="eastAsia" w:ascii="宋体" w:hAnsi="宋体"/>
          <w:szCs w:val="21"/>
        </w:rPr>
        <w:t>7.2.10 商户保证维护当当的良好声誉和企业形象，不得做出任何有损于当当“品牌形象”和声誉的言论及行动，如当当发现商户有故意诋毁或损害当当声誉的言行或行为的，当当有权立即终止本协议，并追究商户法律责任。</w:t>
      </w:r>
    </w:p>
    <w:p>
      <w:pPr>
        <w:pStyle w:val="32"/>
        <w:widowControl/>
        <w:tabs>
          <w:tab w:val="left" w:pos="1134"/>
        </w:tabs>
        <w:snapToGrid w:val="0"/>
        <w:spacing w:line="360" w:lineRule="exact"/>
        <w:rPr>
          <w:rFonts w:ascii="宋体" w:hAnsi="宋体"/>
          <w:szCs w:val="21"/>
        </w:rPr>
      </w:pPr>
      <w:r>
        <w:rPr>
          <w:rFonts w:hint="eastAsia" w:ascii="宋体" w:hAnsi="宋体"/>
          <w:szCs w:val="21"/>
        </w:rPr>
        <w:t>7.2.11 未经当当事先书面授权，商户不得以任何目的、任何形式使用当当商标、标志及企业字号，否则，商户承担由此产生的全部法律责任。</w:t>
      </w:r>
    </w:p>
    <w:p>
      <w:pPr>
        <w:pStyle w:val="32"/>
        <w:widowControl/>
        <w:tabs>
          <w:tab w:val="left" w:pos="1134"/>
        </w:tabs>
        <w:snapToGrid w:val="0"/>
        <w:spacing w:line="360" w:lineRule="exact"/>
        <w:rPr>
          <w:rFonts w:ascii="宋体" w:hAnsi="宋体"/>
          <w:szCs w:val="21"/>
        </w:rPr>
      </w:pPr>
      <w:r>
        <w:rPr>
          <w:rFonts w:hint="eastAsia" w:ascii="宋体" w:hAnsi="宋体"/>
          <w:szCs w:val="21"/>
        </w:rPr>
        <w:t>7.2.12 商户不得擅自单方终止协议或者将本协议项下权利和义务转让给任何第三方，否则，当当有权解除协议、扣除商户全部保证金，并有权要求商户就由此给当当造成的损失承担赔偿责任。</w:t>
      </w:r>
    </w:p>
    <w:p>
      <w:pPr>
        <w:widowControl/>
        <w:tabs>
          <w:tab w:val="left" w:pos="1134"/>
        </w:tabs>
        <w:snapToGrid w:val="0"/>
        <w:spacing w:line="360" w:lineRule="exact"/>
        <w:ind w:firstLine="420" w:firstLineChars="200"/>
        <w:rPr>
          <w:rFonts w:ascii="宋体" w:hAnsi="宋体"/>
          <w:szCs w:val="21"/>
        </w:rPr>
      </w:pPr>
      <w:r>
        <w:rPr>
          <w:rFonts w:hint="eastAsia" w:ascii="宋体" w:hAnsi="宋体"/>
          <w:szCs w:val="21"/>
        </w:rPr>
        <w:t>7.2.13 商户不得利用当当平台发布任何吸引当当客户到商户或其他任何第三方进行交易的引流信息。</w:t>
      </w:r>
    </w:p>
    <w:p>
      <w:pPr>
        <w:widowControl/>
        <w:tabs>
          <w:tab w:val="left" w:pos="1134"/>
        </w:tabs>
        <w:snapToGrid w:val="0"/>
        <w:spacing w:line="360" w:lineRule="exact"/>
        <w:ind w:firstLine="420" w:firstLineChars="200"/>
        <w:rPr>
          <w:rFonts w:ascii="宋体" w:hAnsi="宋体"/>
          <w:szCs w:val="21"/>
        </w:rPr>
      </w:pPr>
      <w:r>
        <w:rPr>
          <w:rFonts w:hint="eastAsia" w:ascii="宋体" w:hAnsi="宋体"/>
          <w:szCs w:val="21"/>
        </w:rPr>
        <w:t>7.2.14商户承诺未隐瞒任何其他信息以致足以影响当当签订及履行本协议。</w:t>
      </w:r>
    </w:p>
    <w:p>
      <w:pPr>
        <w:pStyle w:val="32"/>
        <w:widowControl/>
        <w:tabs>
          <w:tab w:val="left" w:pos="1134"/>
        </w:tabs>
        <w:snapToGrid w:val="0"/>
        <w:spacing w:line="360" w:lineRule="exact"/>
        <w:ind w:firstLine="424" w:firstLineChars="202"/>
        <w:rPr>
          <w:rFonts w:ascii="宋体" w:hAnsi="宋体"/>
          <w:szCs w:val="21"/>
        </w:rPr>
      </w:pPr>
      <w:r>
        <w:rPr>
          <w:rFonts w:hint="eastAsia" w:ascii="宋体" w:hAnsi="宋体"/>
          <w:szCs w:val="21"/>
        </w:rPr>
        <w:t>7.2.15 商户保证在使用服务进行交易的过程中遵守诚实信用原则，不在交易过程中采取虚假宣传等不正当竞争行为，不扰乱网上交易的正常秩序，不从事与网上交易无关的行为。</w:t>
      </w:r>
    </w:p>
    <w:p>
      <w:pPr>
        <w:spacing w:line="360" w:lineRule="exact"/>
        <w:ind w:firstLine="420"/>
        <w:rPr>
          <w:rFonts w:ascii="宋体" w:hAnsi="宋体"/>
          <w:szCs w:val="21"/>
        </w:rPr>
      </w:pPr>
      <w:r>
        <w:rPr>
          <w:rFonts w:hint="eastAsia" w:ascii="宋体" w:hAnsi="宋体"/>
          <w:szCs w:val="21"/>
        </w:rPr>
        <w:t>若商户和</w:t>
      </w:r>
      <w:r>
        <w:rPr>
          <w:rFonts w:ascii="宋体" w:hAnsi="宋体"/>
          <w:szCs w:val="21"/>
        </w:rPr>
        <w:t>/</w:t>
      </w:r>
      <w:r>
        <w:rPr>
          <w:rFonts w:hint="eastAsia" w:ascii="宋体" w:hAnsi="宋体"/>
          <w:szCs w:val="21"/>
        </w:rPr>
        <w:t>或商户通过关联公司、任何第三方等向当当购买礼品卡，且该等礼品卡当当给予了销售折扣，商户保证不对礼品卡进行任何形式的倒卖或参与倒卖及在使用上述礼品卡时不进行任何形式的套利行为，损害当当的利益。该等礼品卡的折扣率高于本合同及附件、补充协议中约定的销售扣率的，则商户须在购买礼品卡前书面通知当当，同时须向当当补齐上述扣率差额损失，当当也有权在商户最近一笔应结货款中予以扣除该部分损失。商户未予提前书面通知的，除赔偿当当全部损失外，另应按其购买的该批礼品卡金额的</w:t>
      </w:r>
      <w:r>
        <w:rPr>
          <w:rFonts w:ascii="宋体" w:hAnsi="宋体"/>
          <w:szCs w:val="21"/>
        </w:rPr>
        <w:t>20%</w:t>
      </w:r>
      <w:r>
        <w:rPr>
          <w:rFonts w:hint="eastAsia" w:ascii="宋体" w:hAnsi="宋体"/>
          <w:szCs w:val="21"/>
        </w:rPr>
        <w:t>向当当支付违约金，上述损失及违约金当当有权在商户最近一笔应结货款中予以全额扣除，同时当当有权解除本合同，且商户交纳的保证金将不予返还。</w:t>
      </w:r>
    </w:p>
    <w:p>
      <w:pPr>
        <w:spacing w:line="360" w:lineRule="exact"/>
        <w:ind w:firstLine="420"/>
        <w:rPr>
          <w:rFonts w:ascii="宋体" w:hAnsi="宋体"/>
          <w:szCs w:val="21"/>
        </w:rPr>
      </w:pPr>
      <w:r>
        <w:rPr>
          <w:rFonts w:hint="eastAsia" w:ascii="宋体" w:hAnsi="宋体"/>
          <w:szCs w:val="21"/>
        </w:rPr>
        <w:t>商户、商户关联公司、商户实际控制的任何第三方及其工作人员倒卖、参与倒卖或为倒卖当当礼品卡提供任何便利的，亦按照上述约定处理。</w:t>
      </w:r>
    </w:p>
    <w:p>
      <w:pPr>
        <w:spacing w:line="360" w:lineRule="exact"/>
        <w:ind w:firstLine="420"/>
        <w:rPr>
          <w:rFonts w:ascii="宋体" w:hAnsi="宋体"/>
          <w:szCs w:val="21"/>
        </w:rPr>
      </w:pPr>
      <w:r>
        <w:rPr>
          <w:rFonts w:hint="eastAsia" w:ascii="宋体" w:hAnsi="宋体"/>
          <w:szCs w:val="21"/>
        </w:rPr>
        <w:t>以上“关联公司”指商户或商户工作人员参股的子公司、分公司及商户股东或商户股东工作人员参股的子公司、分公司。</w:t>
      </w:r>
    </w:p>
    <w:p>
      <w:pPr>
        <w:spacing w:line="360" w:lineRule="exact"/>
        <w:ind w:firstLine="420"/>
        <w:rPr>
          <w:rFonts w:ascii="宋体" w:hAnsi="宋体"/>
          <w:szCs w:val="21"/>
        </w:rPr>
      </w:pPr>
      <w:r>
        <w:rPr>
          <w:rFonts w:hint="eastAsia" w:ascii="宋体" w:hAnsi="宋体"/>
          <w:szCs w:val="21"/>
        </w:rPr>
        <w:t>以上“倒卖或参与倒卖”指从当当购买有折扣的礼品卡，并利用该等礼品卡购买时的折扣率与本合同销售扣率间的差额，以购买当当销售的任何商品、服务的形式进行套利或参与套利的行为。</w:t>
      </w:r>
    </w:p>
    <w:p>
      <w:pPr>
        <w:spacing w:line="360" w:lineRule="exact"/>
        <w:ind w:firstLine="420"/>
        <w:rPr>
          <w:rFonts w:ascii="宋体" w:hAnsi="宋体"/>
          <w:szCs w:val="21"/>
        </w:rPr>
      </w:pPr>
      <w:r>
        <w:rPr>
          <w:rFonts w:hint="eastAsia" w:ascii="宋体" w:hAnsi="宋体"/>
          <w:szCs w:val="21"/>
        </w:rPr>
        <w:t>7.2.16 商户不得通过不正当方式获取流量。</w:t>
      </w:r>
    </w:p>
    <w:p>
      <w:pPr>
        <w:pStyle w:val="32"/>
        <w:widowControl/>
        <w:tabs>
          <w:tab w:val="left" w:pos="1134"/>
        </w:tabs>
        <w:snapToGrid w:val="0"/>
        <w:spacing w:before="93" w:beforeLines="30" w:after="93" w:afterLines="30" w:line="360" w:lineRule="exact"/>
        <w:ind w:left="23" w:firstLine="422"/>
        <w:rPr>
          <w:rFonts w:ascii="宋体" w:hAnsi="宋体"/>
          <w:b/>
          <w:szCs w:val="21"/>
        </w:rPr>
      </w:pPr>
      <w:r>
        <w:rPr>
          <w:rFonts w:hint="eastAsia" w:ascii="宋体" w:hAnsi="宋体"/>
          <w:b/>
          <w:szCs w:val="21"/>
        </w:rPr>
        <w:t>7.3 消费者及平台权益保障</w:t>
      </w:r>
    </w:p>
    <w:p>
      <w:pPr>
        <w:pStyle w:val="32"/>
        <w:widowControl/>
        <w:tabs>
          <w:tab w:val="left" w:pos="1134"/>
        </w:tabs>
        <w:snapToGrid w:val="0"/>
        <w:spacing w:line="360" w:lineRule="exact"/>
        <w:ind w:firstLineChars="0"/>
        <w:rPr>
          <w:rFonts w:ascii="宋体" w:hAnsi="宋体"/>
          <w:szCs w:val="21"/>
        </w:rPr>
      </w:pPr>
      <w:r>
        <w:rPr>
          <w:rFonts w:hint="eastAsia" w:ascii="宋体" w:hAnsi="宋体"/>
          <w:szCs w:val="21"/>
        </w:rPr>
        <w:t>7.3.1商户保证商品质量符合国家标准、行业标准，无国家标准、行业标准的，符合地方标准、经备案的企业标准。商户应对其提供的商品的质量负完全责任，保证不销售水货、假货、旧货及其他有问题的商品，如商户因上述质量问题遭到投诉，商户承诺承担假一赔五的赔偿责任，由于商品质量问题造成人身损害或财产损失的，商户应承担由此造成的一切后果。</w:t>
      </w:r>
    </w:p>
    <w:p>
      <w:pPr>
        <w:pStyle w:val="32"/>
        <w:widowControl/>
        <w:tabs>
          <w:tab w:val="left" w:pos="1134"/>
        </w:tabs>
        <w:snapToGrid w:val="0"/>
        <w:spacing w:line="360" w:lineRule="exact"/>
        <w:ind w:firstLineChars="0"/>
        <w:rPr>
          <w:rFonts w:ascii="宋体" w:hAnsi="宋体"/>
          <w:szCs w:val="21"/>
        </w:rPr>
      </w:pPr>
      <w:r>
        <w:rPr>
          <w:rFonts w:hint="eastAsia" w:ascii="宋体" w:hAnsi="宋体"/>
          <w:szCs w:val="21"/>
        </w:rPr>
        <w:t>7.3.2 商户保证按照国家相关规定、</w:t>
      </w:r>
      <w:r>
        <w:rPr>
          <w:rFonts w:hint="eastAsia"/>
        </w:rPr>
        <w:t>自身售后服务承诺及与当当的约定、</w:t>
      </w:r>
      <w:r>
        <w:t>规则</w:t>
      </w:r>
      <w:r>
        <w:rPr>
          <w:rFonts w:hint="eastAsia" w:ascii="宋体" w:hAnsi="宋体"/>
          <w:szCs w:val="21"/>
        </w:rPr>
        <w:t>，提供商品“修理、更换、退货”等售后服务，同时保证按照本协议及附件要求履行其他保障消费者权益的义务。</w:t>
      </w:r>
    </w:p>
    <w:p>
      <w:pPr>
        <w:pStyle w:val="32"/>
        <w:widowControl/>
        <w:tabs>
          <w:tab w:val="left" w:pos="1134"/>
        </w:tabs>
        <w:snapToGrid w:val="0"/>
        <w:spacing w:line="360" w:lineRule="exact"/>
        <w:rPr>
          <w:rFonts w:ascii="宋体" w:hAnsi="宋体"/>
          <w:szCs w:val="21"/>
        </w:rPr>
      </w:pPr>
      <w:r>
        <w:rPr>
          <w:rFonts w:hint="eastAsia" w:ascii="宋体" w:hAnsi="宋体"/>
          <w:szCs w:val="21"/>
        </w:rPr>
        <w:t>7.3.3 若有消费者向当当投诉商户、当当日常检查中，</w:t>
      </w:r>
      <w:r>
        <w:rPr>
          <w:rFonts w:ascii="宋体" w:hAnsi="宋体"/>
          <w:szCs w:val="21"/>
        </w:rPr>
        <w:t>发现商户</w:t>
      </w:r>
      <w:r>
        <w:rPr>
          <w:rFonts w:hint="eastAsia" w:ascii="宋体" w:hAnsi="宋体"/>
          <w:szCs w:val="21"/>
        </w:rPr>
        <w:t>存在包括但不限于下列情形的：销售侵权、假冒伪劣或有质量问题及其他问题的商品；销售方式、宣传或商品信息等侵权或违法；销售国家禁止流通、限制流通商品；提供非法服务；其他当当认为不宜继续销售的情形。当当可按下述方式处理：</w:t>
      </w:r>
    </w:p>
    <w:p>
      <w:pPr>
        <w:pStyle w:val="32"/>
        <w:tabs>
          <w:tab w:val="left" w:pos="1134"/>
        </w:tabs>
        <w:spacing w:line="360" w:lineRule="exact"/>
        <w:ind w:firstLine="401" w:firstLineChars="191"/>
        <w:rPr>
          <w:rFonts w:ascii="宋体" w:hAnsi="宋体"/>
          <w:szCs w:val="21"/>
        </w:rPr>
      </w:pPr>
      <w:r>
        <w:rPr>
          <w:rFonts w:hint="eastAsia" w:ascii="宋体" w:hAnsi="宋体"/>
          <w:szCs w:val="21"/>
        </w:rPr>
        <w:t>对该商品进行即时下架处理，并通知商户提供相关授权经营证明文件，商户应在2日内提交。若商户不能提供完整有效</w:t>
      </w:r>
      <w:r>
        <w:rPr>
          <w:rFonts w:ascii="宋体" w:hAnsi="宋体"/>
          <w:szCs w:val="21"/>
        </w:rPr>
        <w:t>证明</w:t>
      </w:r>
      <w:r>
        <w:rPr>
          <w:rFonts w:hint="eastAsia" w:ascii="宋体" w:hAnsi="宋体"/>
          <w:szCs w:val="21"/>
        </w:rPr>
        <w:t>或经查投诉属实的或因上述</w:t>
      </w:r>
      <w:r>
        <w:rPr>
          <w:rFonts w:ascii="宋体" w:hAnsi="宋体"/>
          <w:szCs w:val="21"/>
        </w:rPr>
        <w:t>原因</w:t>
      </w:r>
      <w:r>
        <w:rPr>
          <w:rFonts w:hint="eastAsia" w:ascii="宋体" w:hAnsi="宋体"/>
          <w:szCs w:val="21"/>
        </w:rPr>
        <w:t>导致当当向</w:t>
      </w:r>
      <w:r>
        <w:rPr>
          <w:rFonts w:ascii="宋体" w:hAnsi="宋体"/>
          <w:szCs w:val="21"/>
        </w:rPr>
        <w:t>第三方</w:t>
      </w:r>
      <w:r>
        <w:rPr>
          <w:rFonts w:hint="eastAsia" w:ascii="宋体" w:hAnsi="宋体"/>
          <w:szCs w:val="21"/>
        </w:rPr>
        <w:t>承担</w:t>
      </w:r>
      <w:r>
        <w:rPr>
          <w:rFonts w:ascii="宋体" w:hAnsi="宋体"/>
          <w:szCs w:val="21"/>
        </w:rPr>
        <w:t>赔偿责任的</w:t>
      </w:r>
      <w:r>
        <w:rPr>
          <w:rFonts w:hint="eastAsia" w:ascii="宋体" w:hAnsi="宋体"/>
          <w:szCs w:val="21"/>
        </w:rPr>
        <w:t>，当当有权采取下列一项或多项措施：</w:t>
      </w:r>
    </w:p>
    <w:p>
      <w:pPr>
        <w:pStyle w:val="32"/>
        <w:tabs>
          <w:tab w:val="left" w:pos="1134"/>
        </w:tabs>
        <w:spacing w:line="360" w:lineRule="exact"/>
        <w:ind w:firstLine="401" w:firstLineChars="191"/>
        <w:rPr>
          <w:rFonts w:ascii="宋体" w:hAnsi="宋体"/>
          <w:szCs w:val="21"/>
        </w:rPr>
      </w:pPr>
      <w:r>
        <w:rPr>
          <w:rFonts w:hint="eastAsia" w:ascii="宋体" w:hAnsi="宋体"/>
          <w:szCs w:val="21"/>
        </w:rPr>
        <w:t>1）解除本协议； 2）扣除商户全部保证金； 3）要求商户支付本协议生效到上述行为发生时为止商户在本协议下销售商品总金额的</w:t>
      </w:r>
      <w:r>
        <w:rPr>
          <w:rFonts w:hint="eastAsia" w:ascii="宋体" w:hAnsi="宋体"/>
          <w:b/>
          <w:szCs w:val="21"/>
        </w:rPr>
        <w:t>10%</w:t>
      </w:r>
      <w:r>
        <w:rPr>
          <w:rFonts w:hint="eastAsia" w:ascii="宋体" w:hAnsi="宋体"/>
          <w:szCs w:val="21"/>
        </w:rPr>
        <w:t>作为违约金； 4）要求商户赔偿损失；5)扣除商户全部货款。</w:t>
      </w:r>
    </w:p>
    <w:p>
      <w:pPr>
        <w:pStyle w:val="32"/>
        <w:tabs>
          <w:tab w:val="left" w:pos="1134"/>
        </w:tabs>
        <w:spacing w:line="360" w:lineRule="exact"/>
        <w:ind w:firstLine="401" w:firstLineChars="191"/>
        <w:rPr>
          <w:rFonts w:ascii="宋体" w:hAnsi="宋体"/>
          <w:szCs w:val="21"/>
        </w:rPr>
      </w:pPr>
      <w:r>
        <w:rPr>
          <w:rFonts w:hint="eastAsia" w:ascii="宋体" w:hAnsi="宋体"/>
          <w:szCs w:val="21"/>
        </w:rPr>
        <w:t>7.3.4商户同意，当当可对商户在当当平台销售的商品或服务进行定期或不定期的抽查、核查、鉴定，当当根据单方面调取的证据认定商户进行虚假宣传、价格欺诈、侵犯第三者合法权益、侵犯第三人知识产权等不正当经营行为的，或销售水货、假货、旧货、不合格产品等非正品新货的，可对商户采取以下任何一项或部分或全部措施：</w:t>
      </w:r>
    </w:p>
    <w:p>
      <w:pPr>
        <w:pStyle w:val="32"/>
        <w:tabs>
          <w:tab w:val="left" w:pos="1134"/>
        </w:tabs>
        <w:spacing w:line="360" w:lineRule="exact"/>
        <w:ind w:firstLine="401" w:firstLineChars="191"/>
        <w:rPr>
          <w:rFonts w:ascii="宋体" w:hAnsi="宋体"/>
          <w:szCs w:val="21"/>
        </w:rPr>
      </w:pPr>
      <w:r>
        <w:rPr>
          <w:rFonts w:hint="eastAsia" w:ascii="宋体" w:hAnsi="宋体"/>
          <w:szCs w:val="21"/>
        </w:rPr>
        <w:t>1）将问题产品做下架处理，屏蔽页面，并暂停支付应结帐款；2）商户对当当抽检的商品进行退货退款，并承担因检测产生的一切必要费用；3）支付所涉商品在交易平台销售额</w:t>
      </w:r>
      <w:r>
        <w:rPr>
          <w:rFonts w:hint="eastAsia" w:ascii="宋体" w:hAnsi="宋体"/>
          <w:b/>
          <w:szCs w:val="21"/>
        </w:rPr>
        <w:t>20</w:t>
      </w:r>
      <w:r>
        <w:rPr>
          <w:rFonts w:hint="eastAsia" w:ascii="宋体" w:hAnsi="宋体"/>
          <w:szCs w:val="21"/>
        </w:rPr>
        <w:t>倍的违约金或者</w:t>
      </w:r>
      <w:r>
        <w:rPr>
          <w:rFonts w:hint="eastAsia" w:ascii="宋体" w:hAnsi="宋体"/>
          <w:b/>
          <w:szCs w:val="21"/>
        </w:rPr>
        <w:t>壹拾万</w:t>
      </w:r>
      <w:r>
        <w:rPr>
          <w:rFonts w:hint="eastAsia" w:ascii="宋体" w:hAnsi="宋体"/>
          <w:szCs w:val="21"/>
        </w:rPr>
        <w:t>元人民币，二者以高者为准，并优先从应结账款中扣除，不足部分由商户在3个工作日内交纳；前述违约金不足以弥补当当损失的，商户还应全部赔偿（包括但不限于当当对客户的赔偿、补偿、行政部门的处罚、律师费、诉讼费、鉴定费、差旅费）；4）提高商户本合同消费者权益保证金；5）根据《入驻商户管理规则》进行扣分、限制权利等处罚；6）将抽查检测结果在当当平台公示；7）解除本合同。</w:t>
      </w:r>
    </w:p>
    <w:p>
      <w:pPr>
        <w:pStyle w:val="32"/>
        <w:tabs>
          <w:tab w:val="left" w:pos="1134"/>
        </w:tabs>
        <w:spacing w:line="360" w:lineRule="exact"/>
        <w:ind w:firstLine="401" w:firstLineChars="191"/>
        <w:rPr>
          <w:rFonts w:ascii="宋体" w:hAnsi="宋体"/>
          <w:szCs w:val="21"/>
        </w:rPr>
      </w:pPr>
      <w:r>
        <w:rPr>
          <w:rFonts w:hint="eastAsia" w:ascii="宋体" w:hAnsi="宋体"/>
          <w:szCs w:val="21"/>
        </w:rPr>
        <w:t>商户对当当以上判定结论有异议的，需在当当书面通知商户后5个工作日内提供确凿证据材料，供当当复核。商户提供的证据材料经当当复核后不被当当认可的，或者商户虽有异议但未在当当通知的期限内提供任何证据材料的，视为商户同意当当认定结论及采取的措施。</w:t>
      </w:r>
    </w:p>
    <w:p>
      <w:pPr>
        <w:pStyle w:val="32"/>
        <w:widowControl/>
        <w:tabs>
          <w:tab w:val="left" w:pos="1134"/>
        </w:tabs>
        <w:snapToGrid w:val="0"/>
        <w:spacing w:before="93" w:beforeLines="30" w:after="93" w:afterLines="30" w:line="360" w:lineRule="exact"/>
        <w:ind w:left="23" w:firstLine="422"/>
        <w:rPr>
          <w:rFonts w:ascii="宋体" w:hAnsi="宋体"/>
          <w:b/>
          <w:szCs w:val="21"/>
        </w:rPr>
      </w:pPr>
      <w:r>
        <w:rPr>
          <w:rFonts w:hint="eastAsia" w:ascii="宋体" w:hAnsi="宋体"/>
          <w:b/>
          <w:szCs w:val="21"/>
        </w:rPr>
        <w:t>7.4 其他</w:t>
      </w:r>
    </w:p>
    <w:p>
      <w:pPr>
        <w:pStyle w:val="32"/>
        <w:widowControl/>
        <w:tabs>
          <w:tab w:val="left" w:pos="1134"/>
        </w:tabs>
        <w:snapToGrid w:val="0"/>
        <w:spacing w:line="360" w:lineRule="exact"/>
        <w:rPr>
          <w:rFonts w:ascii="宋体" w:hAnsi="宋体"/>
          <w:color w:val="000000" w:themeColor="text1"/>
          <w:szCs w:val="21"/>
          <w14:textFill>
            <w14:solidFill>
              <w14:schemeClr w14:val="tx1"/>
            </w14:solidFill>
          </w14:textFill>
        </w:rPr>
      </w:pPr>
      <w:r>
        <w:rPr>
          <w:rFonts w:hint="eastAsia" w:ascii="宋体" w:hAnsi="宋体"/>
          <w:szCs w:val="21"/>
        </w:rPr>
        <w:t>7.4.1 商户在此授予当当全球通用的、免费的许可使用权利( 当当有权对该权利进行转授权)，使当当有权(全部或部分地)使用、复制、修订、改写、发布、翻译、分发、执行和展示商户公示于网站的各类信息或制作其派生作品，或以现在已知或日后开发的任何形式、媒体或技术，将上述信息纳入其它作品内。</w:t>
      </w:r>
      <w:r>
        <w:rPr>
          <w:rFonts w:hint="eastAsia" w:ascii="宋体" w:hAnsi="宋体"/>
          <w:color w:val="000000" w:themeColor="text1"/>
          <w:szCs w:val="21"/>
          <w14:textFill>
            <w14:solidFill>
              <w14:schemeClr w14:val="tx1"/>
            </w14:solidFill>
          </w14:textFill>
        </w:rPr>
        <w:t>但商户对于其提供给当当或者其自行发布的任何信息、文字、图片、广告、链接等的真实性、合法性、关联性负责，如当当接到第三方对商户的投诉、举报、行政部门查处罚款、诉讼、仲裁等主张的，当当有权立即采取断开链接、下线页面信息及商品、屏蔽上线、冻结货款等保护自身利益的手段和措施，对商户的不法行为进行规制，前述所有商户不法行为导致的法律后果均由商户自行承担。</w:t>
      </w:r>
    </w:p>
    <w:p>
      <w:pPr>
        <w:pStyle w:val="32"/>
        <w:widowControl/>
        <w:tabs>
          <w:tab w:val="left" w:pos="1134"/>
        </w:tabs>
        <w:snapToGrid w:val="0"/>
        <w:spacing w:line="36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7.4.2商户及其工作人员不得以任何方式或途径破坏当当平台系统程序、或妨碍当当平台系统的正常运行、或对当当平台进行攻击（包括但不限于对当当上传内容的删改、释放病毒、造成当当网络瘫痪等），否则，商户应向当当支付拾万元的违约金，并赔偿当当受到的一切损失与支出的全部费用。</w:t>
      </w:r>
    </w:p>
    <w:p>
      <w:pPr>
        <w:pStyle w:val="32"/>
        <w:widowControl/>
        <w:tabs>
          <w:tab w:val="left" w:pos="1134"/>
        </w:tabs>
        <w:snapToGrid w:val="0"/>
        <w:spacing w:line="36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7.4.3商户不得对当当技术服务的任何部分（软件产品、页面标识、服务品牌、资讯信息等信息）进行复制、翻译、修改、适应、增强、反编译、反汇编、反向工程、分解拆卸、出售、转租或作任何商业目的的使用，否则商户承担由此产生的全部法律责任。</w:t>
      </w:r>
    </w:p>
    <w:p>
      <w:pPr>
        <w:widowControl/>
        <w:tabs>
          <w:tab w:val="left" w:pos="1134"/>
        </w:tabs>
        <w:snapToGrid w:val="0"/>
        <w:spacing w:line="36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7.4.4商户不应对当当平台系统功能的了解用于平台以外的任何目的。</w:t>
      </w:r>
    </w:p>
    <w:p>
      <w:pPr>
        <w:pStyle w:val="32"/>
        <w:widowControl/>
        <w:tabs>
          <w:tab w:val="left" w:pos="1134"/>
        </w:tabs>
        <w:snapToGrid w:val="0"/>
        <w:spacing w:line="36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7.4.5当当平台以满足商户开设店铺需要为建设及运行目的，当当不对当当平台功能满足商户特定商务目的提供任何保证和承诺。</w:t>
      </w:r>
    </w:p>
    <w:p>
      <w:pPr>
        <w:pStyle w:val="32"/>
        <w:widowControl/>
        <w:tabs>
          <w:tab w:val="left" w:pos="1134"/>
        </w:tabs>
        <w:snapToGrid w:val="0"/>
        <w:spacing w:line="36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7.4.6当当无义务同意商户以不可抗力、当当平台错误、故障、瑕疵为由拒付或要求退还使用费、要求当当承担导致商户丧失交易机会责任的任何要求。除本合同明确约定以外，当当不对商户承担任何形式的承诺与保证责任。</w:t>
      </w:r>
    </w:p>
    <w:p>
      <w:pPr>
        <w:pStyle w:val="3"/>
        <w:spacing w:before="156" w:beforeLines="50" w:after="156" w:afterLines="50" w:line="360" w:lineRule="exact"/>
        <w:ind w:left="0" w:firstLine="422" w:firstLineChars="20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8. 违约责任</w:t>
      </w:r>
    </w:p>
    <w:p>
      <w:pPr>
        <w:pStyle w:val="32"/>
        <w:tabs>
          <w:tab w:val="left" w:pos="851"/>
        </w:tabs>
        <w:spacing w:line="360" w:lineRule="exact"/>
        <w:ind w:firstLine="424" w:firstLineChars="202"/>
        <w:rPr>
          <w:rFonts w:ascii="宋体" w:hAnsi="宋体"/>
          <w:szCs w:val="21"/>
        </w:rPr>
      </w:pPr>
      <w:r>
        <w:rPr>
          <w:rFonts w:hint="eastAsia" w:ascii="宋体" w:hAnsi="宋体"/>
          <w:szCs w:val="21"/>
        </w:rPr>
        <w:t>8.1  若商户违反本协议规定或国家相关法律法规规定，进行虚假宣传、欺诈、侵犯第三者合法权益等不正当经营行为的，或销售水货、假货、旧货、不合格产品等非正品新货的，当当除有权要求商户对消费者承担假一赔五的赔偿责任外，有权要求商户支付所涉商品在交易平台销售额</w:t>
      </w:r>
      <w:r>
        <w:rPr>
          <w:rFonts w:hint="eastAsia" w:ascii="宋体" w:hAnsi="宋体"/>
          <w:b/>
          <w:szCs w:val="21"/>
        </w:rPr>
        <w:t>20倍</w:t>
      </w:r>
      <w:r>
        <w:rPr>
          <w:rFonts w:hint="eastAsia" w:ascii="宋体" w:hAnsi="宋体"/>
          <w:szCs w:val="21"/>
        </w:rPr>
        <w:t>的违约金或者</w:t>
      </w:r>
      <w:r>
        <w:rPr>
          <w:rFonts w:hint="eastAsia" w:ascii="宋体" w:hAnsi="宋体"/>
          <w:b/>
          <w:szCs w:val="21"/>
        </w:rPr>
        <w:t>壹拾万</w:t>
      </w:r>
      <w:r>
        <w:rPr>
          <w:rFonts w:hint="eastAsia" w:ascii="宋体" w:hAnsi="宋体"/>
          <w:szCs w:val="21"/>
        </w:rPr>
        <w:t>元人民币，二者以高者为准，同时当当有权对商户采取冻结账号、冻结资金、终止合作等措施。违约金不足以弥补当当损失的，商户还应全部赔偿（包括但不限于当当对客户的赔偿、补偿、行政部门的处罚、律师费、诉讼费、鉴定费、差旅费）。</w:t>
      </w:r>
    </w:p>
    <w:p>
      <w:pPr>
        <w:pStyle w:val="32"/>
        <w:tabs>
          <w:tab w:val="left" w:pos="851"/>
        </w:tabs>
        <w:spacing w:line="360" w:lineRule="exact"/>
        <w:ind w:firstLine="424" w:firstLineChars="202"/>
        <w:rPr>
          <w:rFonts w:ascii="宋体" w:hAnsi="宋体"/>
          <w:szCs w:val="21"/>
        </w:rPr>
      </w:pPr>
      <w:r>
        <w:rPr>
          <w:rFonts w:hint="eastAsia" w:ascii="宋体" w:hAnsi="宋体"/>
          <w:szCs w:val="21"/>
        </w:rPr>
        <w:t>8.2  若因商户产品问题或售后服务问题、</w:t>
      </w:r>
      <w:r>
        <w:rPr>
          <w:rFonts w:ascii="宋体" w:hAnsi="宋体"/>
          <w:szCs w:val="21"/>
        </w:rPr>
        <w:t>商品价格问题、宣传问题</w:t>
      </w:r>
      <w:r>
        <w:rPr>
          <w:rFonts w:hint="eastAsia" w:ascii="宋体" w:hAnsi="宋体"/>
          <w:szCs w:val="21"/>
        </w:rPr>
        <w:t>等原因导致当当被消费者投诉、起诉的，当当有权选择与消费者和解、调解或诉讼，商户应承担由此支出的一切费用（包括但不限于律师费、诉讼费、和解或调解支付给消费者的赔偿或补偿、法院判令支付的违约金、赔偿金、行政机关处罚等），同时商户应向当当支付</w:t>
      </w:r>
      <w:r>
        <w:rPr>
          <w:rFonts w:hint="eastAsia" w:ascii="宋体" w:hAnsi="宋体"/>
          <w:b/>
          <w:szCs w:val="21"/>
        </w:rPr>
        <w:t>壹拾万元</w:t>
      </w:r>
      <w:r>
        <w:rPr>
          <w:rFonts w:hint="eastAsia" w:ascii="宋体" w:hAnsi="宋体"/>
          <w:szCs w:val="21"/>
        </w:rPr>
        <w:t xml:space="preserve">商誉赔偿金。 </w:t>
      </w:r>
    </w:p>
    <w:p>
      <w:pPr>
        <w:spacing w:line="360" w:lineRule="exact"/>
        <w:ind w:firstLine="420" w:firstLineChars="200"/>
      </w:pPr>
      <w:r>
        <w:rPr>
          <w:rFonts w:hint="eastAsia" w:ascii="宋体" w:hAnsi="宋体"/>
        </w:rPr>
        <w:t>8.3  商户月投诉未解决率</w:t>
      </w:r>
      <w:r>
        <w:rPr>
          <w:rFonts w:hint="eastAsia"/>
        </w:rPr>
        <w:t>（月投诉未解决率</w:t>
      </w:r>
      <w:r>
        <w:t>=</w:t>
      </w:r>
      <w:r>
        <w:rPr>
          <w:rFonts w:hint="eastAsia"/>
        </w:rPr>
        <w:t>每月未解决投诉数量</w:t>
      </w:r>
      <w:r>
        <w:t>/</w:t>
      </w:r>
      <w:r>
        <w:rPr>
          <w:rFonts w:hint="eastAsia"/>
        </w:rPr>
        <w:t>每月总投诉数量，投诉数量以被投</w:t>
      </w:r>
    </w:p>
    <w:p>
      <w:pPr>
        <w:spacing w:line="360" w:lineRule="exact"/>
        <w:rPr>
          <w:rFonts w:ascii="宋体" w:hAnsi="宋体"/>
        </w:rPr>
      </w:pPr>
      <w:r>
        <w:rPr>
          <w:rFonts w:hint="eastAsia"/>
        </w:rPr>
        <w:t>诉单件商品计算。</w:t>
      </w:r>
      <w:r>
        <w:t>以</w:t>
      </w:r>
      <w:r>
        <w:rPr>
          <w:rFonts w:hint="eastAsia"/>
        </w:rPr>
        <w:t>当当</w:t>
      </w:r>
      <w:r>
        <w:t>统计的数据为准</w:t>
      </w:r>
      <w:r>
        <w:rPr>
          <w:rFonts w:hint="eastAsia"/>
        </w:rPr>
        <w:t>）</w:t>
      </w:r>
      <w:r>
        <w:rPr>
          <w:rFonts w:hint="eastAsia" w:ascii="宋体" w:hAnsi="宋体"/>
        </w:rPr>
        <w:t>高于5%的，经双方协商15天内未解决，当当有权随时解除本协议，并扣除商户全部保证金。</w:t>
      </w:r>
    </w:p>
    <w:p>
      <w:pPr>
        <w:pStyle w:val="32"/>
        <w:tabs>
          <w:tab w:val="left" w:pos="851"/>
        </w:tabs>
        <w:spacing w:line="360" w:lineRule="exact"/>
        <w:ind w:firstLine="424" w:firstLineChars="202"/>
        <w:rPr>
          <w:rFonts w:ascii="宋体" w:hAnsi="宋体"/>
          <w:szCs w:val="21"/>
        </w:rPr>
      </w:pPr>
      <w:r>
        <w:rPr>
          <w:rFonts w:hint="eastAsia" w:ascii="宋体" w:hAnsi="宋体"/>
          <w:szCs w:val="21"/>
        </w:rPr>
        <w:t>8.4  商户之代理人、被授权人、受雇人、股权所有人之一切行为均代表该方，其违反协议之行为视为商户之行为，商户应对此承担连带法律责任。</w:t>
      </w:r>
    </w:p>
    <w:p>
      <w:pPr>
        <w:pStyle w:val="32"/>
        <w:tabs>
          <w:tab w:val="left" w:pos="851"/>
        </w:tabs>
        <w:spacing w:line="360" w:lineRule="exact"/>
        <w:ind w:firstLine="424" w:firstLineChars="202"/>
        <w:rPr>
          <w:rFonts w:ascii="宋体" w:hAnsi="宋体"/>
          <w:szCs w:val="21"/>
        </w:rPr>
      </w:pPr>
      <w:r>
        <w:rPr>
          <w:rFonts w:hint="eastAsia" w:ascii="宋体" w:hAnsi="宋体"/>
          <w:szCs w:val="21"/>
        </w:rPr>
        <w:t>8.5  因发生以上条款约定行为致商户被当当处罚或双方终止合作，商户仍需继续执行售后服务并对已售出商品承担一切责任。</w:t>
      </w:r>
    </w:p>
    <w:p>
      <w:pPr>
        <w:pStyle w:val="32"/>
        <w:tabs>
          <w:tab w:val="left" w:pos="851"/>
        </w:tabs>
        <w:spacing w:line="360" w:lineRule="exact"/>
        <w:ind w:firstLine="424" w:firstLineChars="202"/>
        <w:rPr>
          <w:rFonts w:ascii="宋体" w:hAnsi="宋体"/>
          <w:szCs w:val="21"/>
        </w:rPr>
      </w:pPr>
      <w:r>
        <w:rPr>
          <w:rFonts w:hint="eastAsia" w:ascii="宋体" w:hAnsi="宋体"/>
          <w:szCs w:val="21"/>
        </w:rPr>
        <w:t>8.6  商户违反本协议约定向当当支付的任何违约金、赔偿金及其它所有费用，应在该事件发生后</w:t>
      </w:r>
      <w:r>
        <w:rPr>
          <w:rFonts w:ascii="宋体" w:hAnsi="宋体"/>
          <w:szCs w:val="21"/>
        </w:rPr>
        <w:t xml:space="preserve">5 </w:t>
      </w:r>
      <w:r>
        <w:rPr>
          <w:rFonts w:hint="eastAsia" w:ascii="宋体" w:hAnsi="宋体"/>
          <w:szCs w:val="21"/>
        </w:rPr>
        <w:t>日内支付至当当，否则，当当有权在结算款项中直接扣除。</w:t>
      </w:r>
    </w:p>
    <w:p>
      <w:pPr>
        <w:pStyle w:val="32"/>
        <w:tabs>
          <w:tab w:val="left" w:pos="851"/>
        </w:tabs>
        <w:spacing w:line="360" w:lineRule="exact"/>
        <w:ind w:firstLine="424" w:firstLineChars="202"/>
        <w:rPr>
          <w:rFonts w:ascii="宋体" w:hAnsi="宋体"/>
          <w:szCs w:val="21"/>
        </w:rPr>
      </w:pPr>
      <w:r>
        <w:rPr>
          <w:rFonts w:hint="eastAsia" w:ascii="宋体" w:hAnsi="宋体"/>
          <w:szCs w:val="21"/>
        </w:rPr>
        <w:t>8.7  商户在当当平台上销售的商品</w:t>
      </w:r>
      <w:r>
        <w:rPr>
          <w:rFonts w:ascii="宋体" w:hAnsi="宋体"/>
          <w:szCs w:val="21"/>
        </w:rPr>
        <w:t>价格高于</w:t>
      </w:r>
      <w:r>
        <w:rPr>
          <w:rFonts w:hint="eastAsia" w:ascii="宋体" w:hAnsi="宋体"/>
          <w:szCs w:val="21"/>
        </w:rPr>
        <w:t>供给</w:t>
      </w:r>
      <w:r>
        <w:rPr>
          <w:rFonts w:ascii="宋体" w:hAnsi="宋体"/>
          <w:szCs w:val="21"/>
        </w:rPr>
        <w:t>其它</w:t>
      </w:r>
      <w:r>
        <w:rPr>
          <w:rFonts w:hint="eastAsia" w:ascii="宋体" w:hAnsi="宋体"/>
          <w:szCs w:val="21"/>
        </w:rPr>
        <w:t>经销商价格</w:t>
      </w:r>
      <w:r>
        <w:rPr>
          <w:rFonts w:ascii="宋体" w:hAnsi="宋体"/>
          <w:szCs w:val="21"/>
        </w:rPr>
        <w:t>或者市场价格</w:t>
      </w:r>
      <w:r>
        <w:rPr>
          <w:rFonts w:hint="eastAsia" w:ascii="宋体" w:hAnsi="宋体"/>
          <w:szCs w:val="21"/>
        </w:rPr>
        <w:t>的</w:t>
      </w:r>
      <w:r>
        <w:rPr>
          <w:rFonts w:ascii="宋体" w:hAnsi="宋体"/>
          <w:szCs w:val="21"/>
        </w:rPr>
        <w:t>，</w:t>
      </w:r>
      <w:r>
        <w:rPr>
          <w:rFonts w:hint="eastAsia" w:ascii="宋体" w:hAnsi="宋体"/>
          <w:szCs w:val="21"/>
        </w:rPr>
        <w:t>商户应按照所涉商品进货价格的</w:t>
      </w:r>
      <w:r>
        <w:rPr>
          <w:rFonts w:ascii="宋体" w:hAnsi="宋体"/>
          <w:b/>
          <w:szCs w:val="21"/>
        </w:rPr>
        <w:t>10倍</w:t>
      </w:r>
      <w:r>
        <w:rPr>
          <w:rFonts w:hint="eastAsia" w:ascii="宋体" w:hAnsi="宋体"/>
          <w:szCs w:val="21"/>
        </w:rPr>
        <w:t>向当当支付赔偿金。当当有权从最近一次应结款结算中扣除，如应结款项不足抵补上述费用则当当享有追偿权。</w:t>
      </w:r>
    </w:p>
    <w:p>
      <w:pPr>
        <w:pStyle w:val="32"/>
        <w:tabs>
          <w:tab w:val="left" w:pos="0"/>
        </w:tabs>
        <w:spacing w:line="360" w:lineRule="exact"/>
        <w:jc w:val="left"/>
        <w:rPr>
          <w:rFonts w:ascii="宋体" w:hAnsi="宋体"/>
          <w:szCs w:val="21"/>
        </w:rPr>
      </w:pPr>
      <w:r>
        <w:rPr>
          <w:rFonts w:ascii="宋体" w:hAnsi="宋体"/>
          <w:szCs w:val="21"/>
        </w:rPr>
        <w:t>8.8</w:t>
      </w:r>
      <w:r>
        <w:rPr>
          <w:rFonts w:hint="eastAsia" w:ascii="宋体" w:hAnsi="宋体"/>
          <w:szCs w:val="21"/>
        </w:rPr>
        <w:t>消费者下单</w:t>
      </w:r>
      <w:r>
        <w:rPr>
          <w:rFonts w:ascii="宋体" w:hAnsi="宋体"/>
          <w:szCs w:val="21"/>
        </w:rPr>
        <w:t>成功后，商户应向当当后台上传</w:t>
      </w:r>
      <w:r>
        <w:rPr>
          <w:rFonts w:hint="eastAsia" w:ascii="宋体" w:hAnsi="宋体"/>
          <w:szCs w:val="21"/>
        </w:rPr>
        <w:t>真实</w:t>
      </w:r>
      <w:r>
        <w:rPr>
          <w:rFonts w:ascii="宋体" w:hAnsi="宋体"/>
          <w:szCs w:val="21"/>
        </w:rPr>
        <w:t>有效的物流单号信息</w:t>
      </w:r>
      <w:r>
        <w:rPr>
          <w:rFonts w:hint="eastAsia" w:ascii="宋体" w:hAnsi="宋体"/>
          <w:szCs w:val="21"/>
        </w:rPr>
        <w:t>（可</w:t>
      </w:r>
      <w:r>
        <w:rPr>
          <w:rFonts w:ascii="宋体" w:hAnsi="宋体"/>
          <w:szCs w:val="21"/>
        </w:rPr>
        <w:t>查询</w:t>
      </w:r>
      <w:r>
        <w:rPr>
          <w:rFonts w:hint="eastAsia" w:ascii="宋体" w:hAnsi="宋体"/>
          <w:szCs w:val="21"/>
        </w:rPr>
        <w:t>到</w:t>
      </w:r>
      <w:r>
        <w:rPr>
          <w:rFonts w:ascii="宋体" w:hAnsi="宋体"/>
          <w:szCs w:val="21"/>
        </w:rPr>
        <w:t>发货地址、发件人</w:t>
      </w:r>
      <w:r>
        <w:rPr>
          <w:rFonts w:hint="eastAsia" w:ascii="宋体" w:hAnsi="宋体"/>
          <w:szCs w:val="21"/>
        </w:rPr>
        <w:t>、</w:t>
      </w:r>
      <w:r>
        <w:rPr>
          <w:rFonts w:ascii="宋体" w:hAnsi="宋体"/>
          <w:szCs w:val="21"/>
        </w:rPr>
        <w:t>物流更新信息等</w:t>
      </w:r>
      <w:r>
        <w:rPr>
          <w:rFonts w:hint="eastAsia" w:ascii="宋体" w:hAnsi="宋体"/>
          <w:szCs w:val="21"/>
        </w:rPr>
        <w:t>）。如当当发现</w:t>
      </w:r>
      <w:r>
        <w:rPr>
          <w:rFonts w:ascii="宋体" w:hAnsi="宋体"/>
          <w:szCs w:val="21"/>
        </w:rPr>
        <w:t>或</w:t>
      </w:r>
      <w:r>
        <w:rPr>
          <w:rFonts w:hint="eastAsia" w:ascii="宋体" w:hAnsi="宋体"/>
          <w:szCs w:val="21"/>
        </w:rPr>
        <w:t>消费者</w:t>
      </w:r>
      <w:r>
        <w:rPr>
          <w:rFonts w:ascii="宋体" w:hAnsi="宋体"/>
          <w:szCs w:val="21"/>
        </w:rPr>
        <w:t>投诉</w:t>
      </w:r>
      <w:r>
        <w:rPr>
          <w:rFonts w:hint="eastAsia" w:ascii="宋体" w:hAnsi="宋体"/>
          <w:szCs w:val="21"/>
        </w:rPr>
        <w:t>商户有包括</w:t>
      </w:r>
      <w:r>
        <w:rPr>
          <w:rFonts w:ascii="宋体" w:hAnsi="宋体"/>
          <w:szCs w:val="21"/>
        </w:rPr>
        <w:t>但不限于虚假发货</w:t>
      </w:r>
      <w:r>
        <w:rPr>
          <w:rFonts w:hint="eastAsia" w:ascii="宋体" w:hAnsi="宋体"/>
          <w:szCs w:val="21"/>
        </w:rPr>
        <w:t>、上传</w:t>
      </w:r>
      <w:r>
        <w:rPr>
          <w:rFonts w:ascii="宋体" w:hAnsi="宋体"/>
          <w:szCs w:val="21"/>
        </w:rPr>
        <w:t>虚假物流单号</w:t>
      </w:r>
      <w:r>
        <w:rPr>
          <w:rFonts w:hint="eastAsia" w:ascii="宋体" w:hAnsi="宋体"/>
          <w:szCs w:val="21"/>
        </w:rPr>
        <w:t>、实际</w:t>
      </w:r>
      <w:r>
        <w:rPr>
          <w:rFonts w:ascii="宋体" w:hAnsi="宋体"/>
          <w:szCs w:val="21"/>
        </w:rPr>
        <w:t>收货</w:t>
      </w:r>
      <w:r>
        <w:rPr>
          <w:rFonts w:hint="eastAsia" w:ascii="宋体" w:hAnsi="宋体"/>
          <w:szCs w:val="21"/>
        </w:rPr>
        <w:t>单号</w:t>
      </w:r>
      <w:r>
        <w:rPr>
          <w:rFonts w:ascii="宋体" w:hAnsi="宋体"/>
          <w:szCs w:val="21"/>
        </w:rPr>
        <w:t>与后台</w:t>
      </w:r>
      <w:r>
        <w:rPr>
          <w:rFonts w:hint="eastAsia" w:ascii="宋体" w:hAnsi="宋体"/>
          <w:szCs w:val="21"/>
        </w:rPr>
        <w:t>上传</w:t>
      </w:r>
      <w:r>
        <w:rPr>
          <w:rFonts w:ascii="宋体" w:hAnsi="宋体"/>
          <w:szCs w:val="21"/>
        </w:rPr>
        <w:t>单号不一致、违反</w:t>
      </w:r>
      <w:r>
        <w:rPr>
          <w:rFonts w:hint="eastAsia" w:ascii="宋体" w:hAnsi="宋体"/>
          <w:szCs w:val="21"/>
        </w:rPr>
        <w:t>《入驻</w:t>
      </w:r>
      <w:r>
        <w:rPr>
          <w:rFonts w:ascii="宋体" w:hAnsi="宋体"/>
          <w:szCs w:val="21"/>
        </w:rPr>
        <w:t>商户</w:t>
      </w:r>
      <w:r>
        <w:rPr>
          <w:rFonts w:hint="eastAsia" w:ascii="宋体" w:hAnsi="宋体"/>
          <w:szCs w:val="21"/>
        </w:rPr>
        <w:t>管理</w:t>
      </w:r>
      <w:r>
        <w:rPr>
          <w:rFonts w:ascii="宋体" w:hAnsi="宋体"/>
          <w:szCs w:val="21"/>
        </w:rPr>
        <w:t>规则</w:t>
      </w:r>
      <w:r>
        <w:rPr>
          <w:rFonts w:hint="eastAsia" w:ascii="宋体" w:hAnsi="宋体"/>
          <w:szCs w:val="21"/>
        </w:rPr>
        <w:t>》发货</w:t>
      </w:r>
      <w:r>
        <w:rPr>
          <w:rFonts w:ascii="宋体" w:hAnsi="宋体"/>
          <w:szCs w:val="21"/>
        </w:rPr>
        <w:t>管理等情形的</w:t>
      </w:r>
      <w:r>
        <w:rPr>
          <w:rFonts w:hint="eastAsia" w:ascii="宋体" w:hAnsi="宋体"/>
          <w:szCs w:val="21"/>
        </w:rPr>
        <w:t>，</w:t>
      </w:r>
      <w:r>
        <w:rPr>
          <w:rFonts w:ascii="宋体" w:hAnsi="宋体"/>
          <w:szCs w:val="21"/>
        </w:rPr>
        <w:t>当当有权</w:t>
      </w:r>
      <w:r>
        <w:rPr>
          <w:rFonts w:hint="eastAsia" w:ascii="宋体" w:hAnsi="宋体"/>
          <w:szCs w:val="21"/>
        </w:rPr>
        <w:t>按照</w:t>
      </w:r>
      <w:r>
        <w:rPr>
          <w:rFonts w:ascii="宋体" w:hAnsi="宋体"/>
          <w:szCs w:val="21"/>
        </w:rPr>
        <w:t>平台</w:t>
      </w:r>
      <w:r>
        <w:rPr>
          <w:rFonts w:hint="eastAsia" w:ascii="宋体" w:hAnsi="宋体"/>
          <w:szCs w:val="21"/>
        </w:rPr>
        <w:t>相关</w:t>
      </w:r>
      <w:r>
        <w:rPr>
          <w:rFonts w:ascii="宋体" w:hAnsi="宋体"/>
          <w:szCs w:val="21"/>
        </w:rPr>
        <w:t>规则</w:t>
      </w:r>
      <w:r>
        <w:rPr>
          <w:rFonts w:hint="eastAsia" w:ascii="宋体" w:hAnsi="宋体"/>
          <w:szCs w:val="21"/>
        </w:rPr>
        <w:t>对</w:t>
      </w:r>
      <w:r>
        <w:rPr>
          <w:rFonts w:ascii="宋体" w:hAnsi="宋体"/>
          <w:szCs w:val="21"/>
        </w:rPr>
        <w:t>商户采取相应</w:t>
      </w:r>
      <w:r>
        <w:rPr>
          <w:rFonts w:hint="eastAsia" w:ascii="宋体" w:hAnsi="宋体"/>
          <w:szCs w:val="21"/>
        </w:rPr>
        <w:t>违规</w:t>
      </w:r>
      <w:r>
        <w:rPr>
          <w:rFonts w:ascii="宋体" w:hAnsi="宋体"/>
          <w:szCs w:val="21"/>
        </w:rPr>
        <w:t>处理措施，并可采取包括但不限于关店整顿、</w:t>
      </w:r>
      <w:r>
        <w:rPr>
          <w:rFonts w:hint="eastAsia" w:ascii="宋体" w:hAnsi="宋体"/>
          <w:szCs w:val="21"/>
        </w:rPr>
        <w:t>店铺</w:t>
      </w:r>
      <w:r>
        <w:rPr>
          <w:rFonts w:ascii="宋体" w:hAnsi="宋体"/>
          <w:szCs w:val="21"/>
        </w:rPr>
        <w:t>下线、扣除</w:t>
      </w:r>
      <w:r>
        <w:rPr>
          <w:rFonts w:hint="eastAsia" w:ascii="宋体" w:hAnsi="宋体"/>
          <w:szCs w:val="21"/>
        </w:rPr>
        <w:t>全部</w:t>
      </w:r>
      <w:r>
        <w:rPr>
          <w:rFonts w:ascii="宋体" w:hAnsi="宋体"/>
          <w:szCs w:val="21"/>
        </w:rPr>
        <w:t>保证金、冻结货款</w:t>
      </w:r>
      <w:r>
        <w:rPr>
          <w:rFonts w:hint="eastAsia" w:ascii="宋体" w:hAnsi="宋体"/>
          <w:szCs w:val="21"/>
        </w:rPr>
        <w:t>、</w:t>
      </w:r>
      <w:r>
        <w:rPr>
          <w:rFonts w:ascii="宋体" w:hAnsi="宋体"/>
          <w:szCs w:val="21"/>
        </w:rPr>
        <w:t>扣除货款等</w:t>
      </w:r>
      <w:r>
        <w:rPr>
          <w:rFonts w:hint="eastAsia" w:ascii="宋体" w:hAnsi="宋体"/>
          <w:szCs w:val="21"/>
        </w:rPr>
        <w:t>一项</w:t>
      </w:r>
      <w:r>
        <w:rPr>
          <w:rFonts w:ascii="宋体" w:hAnsi="宋体"/>
          <w:szCs w:val="21"/>
        </w:rPr>
        <w:t>或多项措施。</w:t>
      </w:r>
    </w:p>
    <w:p>
      <w:pPr>
        <w:pStyle w:val="32"/>
        <w:tabs>
          <w:tab w:val="left" w:pos="851"/>
        </w:tabs>
        <w:spacing w:line="360" w:lineRule="exact"/>
        <w:ind w:firstLine="424" w:firstLineChars="202"/>
        <w:rPr>
          <w:rFonts w:ascii="宋体" w:hAnsi="宋体"/>
          <w:szCs w:val="21"/>
        </w:rPr>
      </w:pPr>
    </w:p>
    <w:p>
      <w:pPr>
        <w:pStyle w:val="3"/>
        <w:spacing w:before="156" w:beforeLines="50" w:after="156" w:afterLines="50" w:line="360" w:lineRule="exact"/>
        <w:ind w:left="422" w:hanging="422" w:hangingChars="200"/>
        <w:jc w:val="left"/>
        <w:rPr>
          <w:sz w:val="21"/>
          <w:szCs w:val="21"/>
        </w:rPr>
      </w:pPr>
      <w:r>
        <w:rPr>
          <w:rFonts w:hint="eastAsia"/>
          <w:sz w:val="21"/>
          <w:szCs w:val="21"/>
        </w:rPr>
        <w:t>9.责任免除</w:t>
      </w:r>
    </w:p>
    <w:p>
      <w:pPr>
        <w:pStyle w:val="32"/>
        <w:tabs>
          <w:tab w:val="left" w:pos="0"/>
        </w:tabs>
        <w:spacing w:line="360" w:lineRule="exact"/>
        <w:ind w:left="-143" w:leftChars="-68"/>
        <w:rPr>
          <w:rFonts w:ascii="宋体" w:hAnsi="宋体"/>
          <w:szCs w:val="21"/>
        </w:rPr>
      </w:pPr>
      <w:r>
        <w:rPr>
          <w:rFonts w:hint="eastAsia" w:ascii="宋体" w:hAnsi="宋体"/>
          <w:szCs w:val="21"/>
        </w:rPr>
        <w:t>9.1 当当在此明确声明对服务不作任何明示或暗示的保证，包括但不限于对服务的可适用性、没有错误或疏漏、持续性、准确性、可靠性、适用于某一特定用途之类的保证、声明或承诺。当当对服务所涉的技术和信息的有效性、准确性、正确性、可靠性、质量、稳定、完整和及时性均不作承诺和保证。当当无义务</w:t>
      </w:r>
      <w:r>
        <w:rPr>
          <w:rFonts w:ascii="宋体" w:hAnsi="宋体"/>
          <w:szCs w:val="21"/>
        </w:rPr>
        <w:t>对</w:t>
      </w:r>
      <w:r>
        <w:rPr>
          <w:rFonts w:hint="eastAsia" w:ascii="宋体" w:hAnsi="宋体"/>
          <w:szCs w:val="21"/>
        </w:rPr>
        <w:t>使用交易平台</w:t>
      </w:r>
      <w:r>
        <w:rPr>
          <w:rFonts w:ascii="宋体" w:hAnsi="宋体"/>
          <w:szCs w:val="21"/>
        </w:rPr>
        <w:t>所产生的任何直接、间接或偶然性的损失或破坏承担任何责任，无论该损失或破坏是否源于疏忽、违约、诽谤、侵权甚至电脑病毒</w:t>
      </w:r>
      <w:r>
        <w:rPr>
          <w:rFonts w:hint="eastAsia" w:ascii="宋体" w:hAnsi="宋体"/>
          <w:szCs w:val="21"/>
        </w:rPr>
        <w:t>等</w:t>
      </w:r>
      <w:r>
        <w:rPr>
          <w:rFonts w:ascii="宋体" w:hAnsi="宋体"/>
          <w:szCs w:val="21"/>
        </w:rPr>
        <w:t>。</w:t>
      </w:r>
    </w:p>
    <w:p>
      <w:pPr>
        <w:pStyle w:val="32"/>
        <w:tabs>
          <w:tab w:val="left" w:pos="0"/>
        </w:tabs>
        <w:spacing w:line="360" w:lineRule="exact"/>
        <w:ind w:left="-143" w:leftChars="-68"/>
        <w:rPr>
          <w:rFonts w:ascii="宋体" w:hAnsi="宋体"/>
          <w:szCs w:val="21"/>
        </w:rPr>
      </w:pPr>
      <w:r>
        <w:rPr>
          <w:rFonts w:hint="eastAsia" w:ascii="宋体" w:hAnsi="宋体"/>
          <w:szCs w:val="21"/>
        </w:rPr>
        <w:t>9.2 不论在何种情况下，当当均不对由于电力、网络、电脑、通讯或其他系统的故障、罢工（含内部罢工或劳工骚乱）、劳动争议、暴乱、起义、骚乱、生产力或生产资料不足、火灾、洪水、风暴、爆炸、战争、政府行为等不可抗力，国际、国内法院的命令或第三方的不作为而造成的不能服务或延迟服务承担责任。</w:t>
      </w:r>
    </w:p>
    <w:p>
      <w:pPr>
        <w:pStyle w:val="32"/>
        <w:tabs>
          <w:tab w:val="left" w:pos="0"/>
        </w:tabs>
        <w:spacing w:line="360" w:lineRule="exact"/>
        <w:ind w:left="-143" w:leftChars="-68"/>
        <w:rPr>
          <w:rFonts w:ascii="宋体" w:hAnsi="宋体"/>
          <w:szCs w:val="21"/>
        </w:rPr>
      </w:pPr>
      <w:r>
        <w:rPr>
          <w:rFonts w:hint="eastAsia" w:ascii="宋体" w:hAnsi="宋体"/>
          <w:szCs w:val="21"/>
        </w:rPr>
        <w:t>9.3 使用交易平台服务下载或者获取任何资料的行为均出于商户的独立判断，并由其自行承担因此产生的风险和责任。</w:t>
      </w:r>
    </w:p>
    <w:p>
      <w:pPr>
        <w:pStyle w:val="32"/>
        <w:tabs>
          <w:tab w:val="left" w:pos="0"/>
        </w:tabs>
        <w:spacing w:line="360" w:lineRule="exact"/>
        <w:ind w:left="-143" w:leftChars="-68"/>
        <w:rPr>
          <w:rFonts w:ascii="宋体" w:hAnsi="宋体"/>
          <w:szCs w:val="21"/>
        </w:rPr>
      </w:pPr>
      <w:r>
        <w:rPr>
          <w:rFonts w:hint="eastAsia" w:ascii="宋体" w:hAnsi="宋体"/>
          <w:szCs w:val="21"/>
        </w:rPr>
        <w:t>9.4 当当仅作为商户物色交易对象、交易磋商及获取与交易相关服务的地点。本协议的签署并不意味着当当为商户在当当平台上与第三方进行交易的参与者，对前述交易当当仅提供技术服务，不对商户行为的合法性、有效性及商品的真实性、合法性和有效性作任何明示或暗示的担保。</w:t>
      </w:r>
    </w:p>
    <w:p>
      <w:pPr>
        <w:pStyle w:val="32"/>
        <w:tabs>
          <w:tab w:val="left" w:pos="0"/>
        </w:tabs>
        <w:spacing w:line="360" w:lineRule="exact"/>
        <w:ind w:left="-143" w:leftChars="-68"/>
        <w:rPr>
          <w:rFonts w:ascii="宋体" w:hAnsi="宋体"/>
          <w:szCs w:val="21"/>
        </w:rPr>
      </w:pPr>
      <w:r>
        <w:rPr>
          <w:rFonts w:hint="eastAsia" w:ascii="宋体" w:hAnsi="宋体"/>
          <w:szCs w:val="21"/>
        </w:rPr>
        <w:t>9.5商户授权当当可代商户对买家履行消费者保障义务并承担赔付责任。当当当代商户向买家进行赔付时，商户认可当当以大众一般认知对交易纠纷进行的判责及判责结果，如最终证明当当判责有误或赔付金额过高，商户同意自行向受益买家追偿，不向当当追责或主张任何权利。</w:t>
      </w:r>
    </w:p>
    <w:p>
      <w:pPr>
        <w:pStyle w:val="32"/>
        <w:tabs>
          <w:tab w:val="left" w:pos="0"/>
        </w:tabs>
        <w:spacing w:line="360" w:lineRule="exact"/>
        <w:ind w:left="-143" w:leftChars="-68"/>
        <w:rPr>
          <w:rFonts w:ascii="宋体" w:hAnsi="宋体"/>
          <w:szCs w:val="21"/>
        </w:rPr>
      </w:pPr>
      <w:r>
        <w:rPr>
          <w:rFonts w:hint="eastAsia" w:ascii="宋体" w:hAnsi="宋体"/>
          <w:szCs w:val="21"/>
        </w:rPr>
        <w:t>9.6使用当当下载服务或获取任何资料的行为均出于商户的独立判断并由商户自行承担可能对电脑系统或资料灭失造成的损失风险。</w:t>
      </w:r>
    </w:p>
    <w:p>
      <w:pPr>
        <w:pStyle w:val="32"/>
        <w:tabs>
          <w:tab w:val="left" w:pos="0"/>
        </w:tabs>
        <w:spacing w:line="360" w:lineRule="exact"/>
        <w:ind w:left="-143" w:leftChars="-68"/>
        <w:rPr>
          <w:rFonts w:ascii="宋体" w:hAnsi="宋体"/>
          <w:szCs w:val="21"/>
        </w:rPr>
      </w:pPr>
      <w:r>
        <w:rPr>
          <w:rFonts w:hint="eastAsia" w:ascii="宋体" w:hAnsi="宋体"/>
          <w:szCs w:val="21"/>
        </w:rPr>
        <w:t>9.7 商户同意当当无需向其或第三方在使用交易平台服务时对其在传输或联络中的迟延、不准确、错误或疏漏及因此而致使的损害负责。</w:t>
      </w:r>
    </w:p>
    <w:p>
      <w:pPr>
        <w:pStyle w:val="3"/>
        <w:spacing w:before="156" w:beforeLines="50" w:after="156" w:afterLines="50" w:line="360" w:lineRule="exact"/>
        <w:ind w:left="422" w:hanging="422" w:hangingChars="20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10.协议的终止</w:t>
      </w:r>
    </w:p>
    <w:p>
      <w:pPr>
        <w:pStyle w:val="32"/>
        <w:spacing w:line="360" w:lineRule="exact"/>
        <w:rPr>
          <w:rFonts w:ascii="宋体" w:hAnsi="宋体"/>
          <w:szCs w:val="21"/>
        </w:rPr>
      </w:pPr>
      <w:r>
        <w:rPr>
          <w:rFonts w:hint="eastAsia" w:ascii="宋体" w:hAnsi="宋体"/>
          <w:szCs w:val="21"/>
        </w:rPr>
        <w:t>10.1  除本协议另有规定外，任何一方在协议期限内提前终止本协议，需提前一个月以书面的形式通知对方，经对方同意后双方另行签署书面终止协议。</w:t>
      </w:r>
    </w:p>
    <w:p>
      <w:pPr>
        <w:pStyle w:val="32"/>
        <w:spacing w:line="360" w:lineRule="exact"/>
        <w:rPr>
          <w:rFonts w:ascii="宋体" w:hAnsi="宋体"/>
          <w:szCs w:val="21"/>
        </w:rPr>
      </w:pPr>
      <w:r>
        <w:rPr>
          <w:rFonts w:hint="eastAsia" w:ascii="宋体" w:hAnsi="宋体"/>
          <w:szCs w:val="21"/>
        </w:rPr>
        <w:t>10.2  因商户与任何第三方之间存在争议，当当认为其合法权益可能受到影响时，当当可单方解除本协议。</w:t>
      </w:r>
    </w:p>
    <w:p>
      <w:pPr>
        <w:pStyle w:val="32"/>
        <w:spacing w:line="360" w:lineRule="exact"/>
        <w:rPr>
          <w:rFonts w:ascii="宋体" w:hAnsi="宋体"/>
          <w:szCs w:val="21"/>
        </w:rPr>
      </w:pPr>
      <w:r>
        <w:rPr>
          <w:rFonts w:hint="eastAsia" w:ascii="宋体" w:hAnsi="宋体"/>
          <w:szCs w:val="21"/>
        </w:rPr>
        <w:t>10.3  除10.2条外，本协议规定一方具有单方解除权的，该方行使单方解除权后本协议终止。</w:t>
      </w:r>
    </w:p>
    <w:p>
      <w:pPr>
        <w:spacing w:line="360" w:lineRule="exact"/>
        <w:ind w:firstLine="420" w:firstLineChars="200"/>
      </w:pPr>
      <w:r>
        <w:rPr>
          <w:rFonts w:hint="eastAsia" w:ascii="宋体" w:hAnsi="宋体"/>
          <w:szCs w:val="21"/>
        </w:rPr>
        <w:t>10.4  协议终止后，双方应按照协议继续履行售后、剩余未结款项、保证金退还等缮后义务。</w:t>
      </w:r>
    </w:p>
    <w:p>
      <w:pPr>
        <w:pStyle w:val="3"/>
        <w:spacing w:before="156" w:beforeLines="50" w:after="156" w:afterLines="50" w:line="360" w:lineRule="exact"/>
        <w:ind w:left="422" w:hanging="422" w:hangingChars="20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11.保密条款</w:t>
      </w:r>
    </w:p>
    <w:p>
      <w:pPr>
        <w:spacing w:line="360" w:lineRule="exact"/>
        <w:ind w:firstLine="420" w:firstLineChars="200"/>
        <w:rPr>
          <w:rFonts w:ascii="宋体" w:hAnsi="宋体"/>
          <w:szCs w:val="21"/>
        </w:rPr>
      </w:pPr>
      <w:r>
        <w:rPr>
          <w:rFonts w:hint="eastAsia" w:ascii="宋体" w:hAnsi="宋体"/>
          <w:szCs w:val="21"/>
        </w:rPr>
        <w:t>11.1 协议各方应当对本协议的内容、因履行本协议或在本协议期间获得的或收到的对方的商务、财务、技术、产品的信息、用户资料或在合作过程中涉及的其他秘密信息，未经信息披露方书面事先同意，不得向本协议以外的任何第三方披露、传播、编辑或展示。因对方书面同意及国家行政、司法强制行为而披露商业秘密的或商业秘密已为公众所知悉的，披露方不承担责任。</w:t>
      </w:r>
    </w:p>
    <w:p>
      <w:pPr>
        <w:spacing w:line="360" w:lineRule="exact"/>
        <w:ind w:firstLine="420" w:firstLineChars="200"/>
        <w:rPr>
          <w:rFonts w:ascii="宋体" w:hAnsi="宋体"/>
          <w:szCs w:val="21"/>
        </w:rPr>
      </w:pPr>
      <w:r>
        <w:rPr>
          <w:rFonts w:hint="eastAsia" w:ascii="宋体" w:hAnsi="宋体"/>
          <w:szCs w:val="21"/>
        </w:rPr>
        <w:t>11.2 本保密义务应在本协议期满、解除或终止后仍然有效，直到</w:t>
      </w:r>
      <w:r>
        <w:rPr>
          <w:rFonts w:ascii="宋体" w:hAnsi="宋体"/>
          <w:szCs w:val="21"/>
        </w:rPr>
        <w:t>一方的信息</w:t>
      </w:r>
      <w:r>
        <w:rPr>
          <w:rFonts w:hint="eastAsia" w:ascii="宋体" w:hAnsi="宋体"/>
          <w:szCs w:val="21"/>
        </w:rPr>
        <w:t>披露</w:t>
      </w:r>
      <w:r>
        <w:rPr>
          <w:rFonts w:ascii="宋体" w:hAnsi="宋体"/>
          <w:szCs w:val="21"/>
        </w:rPr>
        <w:t>、公开为止</w:t>
      </w:r>
      <w:r>
        <w:rPr>
          <w:rFonts w:hint="eastAsia" w:ascii="宋体" w:hAnsi="宋体"/>
          <w:szCs w:val="21"/>
        </w:rPr>
        <w:t>。</w:t>
      </w:r>
    </w:p>
    <w:p>
      <w:pPr>
        <w:pStyle w:val="3"/>
        <w:spacing w:before="156" w:beforeLines="50" w:after="156" w:afterLines="50" w:line="360" w:lineRule="exact"/>
        <w:ind w:left="422" w:hanging="422" w:hangingChars="20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12. 不可抗力</w:t>
      </w:r>
    </w:p>
    <w:p>
      <w:pPr>
        <w:pStyle w:val="32"/>
        <w:tabs>
          <w:tab w:val="left" w:pos="0"/>
        </w:tabs>
        <w:spacing w:line="360" w:lineRule="exact"/>
        <w:rPr>
          <w:rFonts w:ascii="宋体" w:hAnsi="宋体"/>
          <w:szCs w:val="21"/>
        </w:rPr>
      </w:pPr>
      <w:r>
        <w:rPr>
          <w:rFonts w:hint="eastAsia" w:ascii="宋体" w:hAnsi="宋体"/>
          <w:szCs w:val="21"/>
        </w:rPr>
        <w:t>12.1 协议双方中的任何一方，由于战争、暴乱、罢工（含内部劳工骚乱）或严重的水灾、火灾，台风和地震等自然灾害，以及双方同意的可作为不可抗力的其他事故而影响协议执行时，则延长履行协议的期限，延长的期限相当于事故所影响的时间。因前述不可抗力导致协议再无履行可能的，协议终止。</w:t>
      </w:r>
    </w:p>
    <w:p>
      <w:pPr>
        <w:pStyle w:val="32"/>
        <w:tabs>
          <w:tab w:val="left" w:pos="0"/>
        </w:tabs>
        <w:spacing w:line="360" w:lineRule="exact"/>
        <w:rPr>
          <w:rFonts w:ascii="宋体" w:hAnsi="宋体"/>
          <w:szCs w:val="21"/>
        </w:rPr>
      </w:pPr>
      <w:r>
        <w:rPr>
          <w:rFonts w:hint="eastAsia" w:ascii="宋体" w:hAnsi="宋体"/>
          <w:szCs w:val="21"/>
        </w:rPr>
        <w:t>12.2 受不可抗力影响的一方应尽快将发生不可抗力事故的情况以传真方式通知对方，并于七天内以航空挂号信件将有关当局出具的证明文件提交给另一方进行确认。</w:t>
      </w:r>
    </w:p>
    <w:p>
      <w:pPr>
        <w:pStyle w:val="3"/>
        <w:spacing w:before="156" w:beforeLines="50" w:after="156" w:afterLines="50" w:line="360" w:lineRule="exact"/>
        <w:ind w:left="422" w:hanging="422" w:hangingChars="20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13.争议的解决</w:t>
      </w:r>
    </w:p>
    <w:p>
      <w:pPr>
        <w:pStyle w:val="32"/>
        <w:tabs>
          <w:tab w:val="left" w:pos="0"/>
        </w:tabs>
        <w:spacing w:line="360" w:lineRule="exact"/>
        <w:ind w:left="2" w:firstLine="495" w:firstLineChars="236"/>
        <w:rPr>
          <w:rFonts w:ascii="宋体" w:hAnsi="宋体"/>
          <w:szCs w:val="21"/>
        </w:rPr>
      </w:pPr>
      <w:r>
        <w:rPr>
          <w:rFonts w:hint="eastAsia" w:ascii="宋体" w:hAnsi="宋体"/>
          <w:szCs w:val="21"/>
        </w:rPr>
        <w:t>执行本协议所发生的或与本协议有关的一切争议，双方应通过友好协商解决，不能达成一致时，则提交协议签订地人民法院裁决。</w:t>
      </w:r>
    </w:p>
    <w:p>
      <w:pPr>
        <w:pStyle w:val="3"/>
        <w:spacing w:before="156" w:beforeLines="50" w:after="156" w:afterLines="50" w:line="360" w:lineRule="exact"/>
        <w:ind w:left="422" w:hanging="422" w:hangingChars="20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14.协议的生效及其他</w:t>
      </w:r>
    </w:p>
    <w:p>
      <w:pPr>
        <w:spacing w:line="360" w:lineRule="exact"/>
        <w:ind w:firstLine="420" w:firstLineChars="200"/>
      </w:pPr>
      <w:r>
        <w:rPr>
          <w:rFonts w:hint="eastAsia" w:ascii="宋体" w:hAnsi="宋体"/>
        </w:rPr>
        <w:t>14.1 本协议有效期自</w:t>
      </w:r>
      <w:r>
        <w:rPr>
          <w:rFonts w:hint="eastAsia" w:ascii="宋体" w:hAnsi="宋体"/>
          <w:szCs w:val="21"/>
        </w:rPr>
        <w:t>__202</w:t>
      </w:r>
      <w:r>
        <w:rPr>
          <w:rFonts w:hint="eastAsia" w:ascii="宋体" w:hAnsi="宋体"/>
          <w:szCs w:val="21"/>
          <w:lang w:val="en-US" w:eastAsia="zh-CN"/>
        </w:rPr>
        <w:t>0</w:t>
      </w:r>
      <w:r>
        <w:rPr>
          <w:rFonts w:hint="eastAsia" w:ascii="宋体" w:hAnsi="宋体"/>
          <w:szCs w:val="21"/>
        </w:rPr>
        <w:t>___</w:t>
      </w:r>
      <w:r>
        <w:rPr>
          <w:rFonts w:hint="eastAsia" w:ascii="宋体" w:hAnsi="宋体"/>
        </w:rPr>
        <w:t>年</w:t>
      </w:r>
      <w:r>
        <w:rPr>
          <w:rFonts w:hint="eastAsia" w:ascii="宋体" w:hAnsi="宋体"/>
          <w:szCs w:val="21"/>
        </w:rPr>
        <w:t>____</w:t>
      </w:r>
      <w:r>
        <w:rPr>
          <w:rFonts w:hint="eastAsia" w:ascii="宋体" w:hAnsi="宋体"/>
          <w:szCs w:val="21"/>
          <w:lang w:val="en-US" w:eastAsia="zh-CN"/>
        </w:rPr>
        <w:t>12</w:t>
      </w:r>
      <w:r>
        <w:rPr>
          <w:rFonts w:hint="eastAsia" w:ascii="宋体" w:hAnsi="宋体"/>
          <w:szCs w:val="21"/>
        </w:rPr>
        <w:t>__</w:t>
      </w:r>
      <w:r>
        <w:rPr>
          <w:rFonts w:hint="eastAsia" w:ascii="宋体" w:hAnsi="宋体"/>
        </w:rPr>
        <w:t>月</w:t>
      </w:r>
      <w:r>
        <w:rPr>
          <w:rFonts w:hint="eastAsia" w:ascii="宋体" w:hAnsi="宋体"/>
          <w:szCs w:val="21"/>
        </w:rPr>
        <w:t>___1</w:t>
      </w:r>
      <w:r>
        <w:rPr>
          <w:rFonts w:hint="eastAsia" w:ascii="宋体" w:hAnsi="宋体"/>
          <w:szCs w:val="21"/>
          <w:lang w:val="en-US" w:eastAsia="zh-CN"/>
        </w:rPr>
        <w:t>5</w:t>
      </w:r>
      <w:r>
        <w:rPr>
          <w:rFonts w:hint="eastAsia" w:ascii="宋体" w:hAnsi="宋体"/>
          <w:szCs w:val="21"/>
        </w:rPr>
        <w:t>____</w:t>
      </w:r>
      <w:r>
        <w:rPr>
          <w:rFonts w:hint="eastAsia" w:ascii="宋体" w:hAnsi="宋体"/>
        </w:rPr>
        <w:t>日起至</w:t>
      </w:r>
      <w:r>
        <w:rPr>
          <w:rFonts w:hint="eastAsia" w:ascii="宋体" w:hAnsi="宋体"/>
          <w:szCs w:val="21"/>
        </w:rPr>
        <w:t>_2021__</w:t>
      </w:r>
      <w:r>
        <w:rPr>
          <w:rFonts w:hint="eastAsia" w:ascii="宋体" w:hAnsi="宋体"/>
        </w:rPr>
        <w:t>年</w:t>
      </w:r>
      <w:r>
        <w:rPr>
          <w:rFonts w:hint="eastAsia" w:ascii="宋体" w:hAnsi="宋体"/>
          <w:szCs w:val="21"/>
        </w:rPr>
        <w:t>___12__</w:t>
      </w:r>
      <w:r>
        <w:rPr>
          <w:rFonts w:hint="eastAsia" w:ascii="宋体" w:hAnsi="宋体"/>
        </w:rPr>
        <w:t>月</w:t>
      </w:r>
      <w:r>
        <w:rPr>
          <w:rFonts w:hint="eastAsia" w:ascii="宋体" w:hAnsi="宋体"/>
          <w:szCs w:val="21"/>
        </w:rPr>
        <w:t>___31__</w:t>
      </w:r>
      <w:r>
        <w:rPr>
          <w:rFonts w:hint="eastAsia" w:ascii="宋体" w:hAnsi="宋体"/>
        </w:rPr>
        <w:t>日止。</w:t>
      </w:r>
      <w:r>
        <w:rPr>
          <w:rFonts w:hint="eastAsia"/>
        </w:rPr>
        <w:t>如本协议已到期，但新的协议尚未签订，为确保双方合作的延续性，本协议有效期自然顺延至新协议签订之日，但最长不得超过三个月。</w:t>
      </w:r>
    </w:p>
    <w:p>
      <w:pPr>
        <w:spacing w:line="360" w:lineRule="exact"/>
        <w:ind w:firstLine="420" w:firstLineChars="200"/>
      </w:pPr>
      <w:r>
        <w:rPr>
          <w:rFonts w:hint="eastAsia"/>
        </w:rPr>
        <w:t>14.2 在法律允许的范围内，当当对本合同的执行拥有最终解释权。</w:t>
      </w:r>
    </w:p>
    <w:p>
      <w:pPr>
        <w:pStyle w:val="32"/>
        <w:tabs>
          <w:tab w:val="left" w:pos="0"/>
        </w:tabs>
        <w:spacing w:line="360" w:lineRule="exact"/>
        <w:jc w:val="left"/>
        <w:rPr>
          <w:rFonts w:ascii="宋体" w:hAnsi="宋体"/>
          <w:szCs w:val="21"/>
        </w:rPr>
      </w:pPr>
      <w:r>
        <w:rPr>
          <w:rFonts w:hint="eastAsia" w:ascii="宋体" w:hAnsi="宋体"/>
          <w:szCs w:val="21"/>
        </w:rPr>
        <w:t>14.3 本协议执行中，对其条款进行变更、修改和增减相关附件，都须经双方协商同意并签署书面文件，作为本协议的组成部分，与本协议具有同等效力。</w:t>
      </w:r>
    </w:p>
    <w:p>
      <w:pPr>
        <w:widowControl/>
        <w:ind w:firstLine="420" w:firstLineChars="200"/>
        <w:jc w:val="left"/>
        <w:rPr>
          <w:rFonts w:ascii="宋体" w:hAnsi="宋体"/>
          <w:szCs w:val="21"/>
        </w:rPr>
      </w:pPr>
      <w:r>
        <w:rPr>
          <w:rFonts w:hint="eastAsia" w:ascii="宋体" w:hAnsi="宋体"/>
          <w:szCs w:val="21"/>
        </w:rPr>
        <w:t>14.4 如本协议的任何条款被视作无效或无法执行，则上述无效或无法执行条款可被分离且不影响本协议其余条款的有效性及可执行性。</w:t>
      </w:r>
    </w:p>
    <w:p>
      <w:pPr>
        <w:pStyle w:val="32"/>
        <w:tabs>
          <w:tab w:val="left" w:pos="0"/>
        </w:tabs>
        <w:spacing w:line="360" w:lineRule="exact"/>
        <w:jc w:val="left"/>
        <w:rPr>
          <w:rFonts w:ascii="宋体" w:hAnsi="宋体"/>
          <w:szCs w:val="21"/>
        </w:rPr>
      </w:pPr>
      <w:r>
        <w:rPr>
          <w:rFonts w:hint="eastAsia" w:ascii="宋体" w:hAnsi="宋体"/>
          <w:szCs w:val="21"/>
        </w:rPr>
        <w:t>14.5 本协议壹式叁份，当当执贰份，商户执壹份，具有相同的法律效力，自双方盖章后生效（北京当当科文电子商务有限公司盖章视为当当全部公司已盖章）。本</w:t>
      </w:r>
      <w:r>
        <w:rPr>
          <w:rFonts w:ascii="宋体" w:hAnsi="宋体"/>
          <w:szCs w:val="21"/>
        </w:rPr>
        <w:t>协议附件</w:t>
      </w:r>
      <w:r>
        <w:rPr>
          <w:rFonts w:hint="eastAsia" w:ascii="宋体" w:hAnsi="宋体"/>
          <w:szCs w:val="21"/>
        </w:rPr>
        <w:t>内容</w:t>
      </w:r>
      <w:r>
        <w:rPr>
          <w:rFonts w:ascii="宋体" w:hAnsi="宋体"/>
          <w:szCs w:val="21"/>
        </w:rPr>
        <w:t>与本协议</w:t>
      </w:r>
      <w:r>
        <w:rPr>
          <w:rFonts w:hint="eastAsia" w:ascii="宋体" w:hAnsi="宋体"/>
          <w:szCs w:val="21"/>
        </w:rPr>
        <w:t>具有</w:t>
      </w:r>
      <w:r>
        <w:rPr>
          <w:rFonts w:ascii="宋体" w:hAnsi="宋体"/>
          <w:szCs w:val="21"/>
        </w:rPr>
        <w:t>同等法律效力。</w:t>
      </w:r>
    </w:p>
    <w:p>
      <w:pPr>
        <w:pStyle w:val="32"/>
        <w:tabs>
          <w:tab w:val="left" w:pos="0"/>
        </w:tabs>
        <w:spacing w:line="360" w:lineRule="exact"/>
        <w:jc w:val="left"/>
        <w:rPr>
          <w:rFonts w:ascii="宋体" w:hAnsi="宋体"/>
          <w:szCs w:val="21"/>
        </w:rPr>
      </w:pPr>
      <w:r>
        <w:rPr>
          <w:rFonts w:hint="eastAsia" w:ascii="宋体" w:hAnsi="宋体"/>
          <w:szCs w:val="21"/>
        </w:rPr>
        <w:t>14.6 商户用于收寄发票及其他文件材料的有效通信地址为：</w:t>
      </w:r>
      <w:r>
        <w:rPr>
          <w:rFonts w:hint="eastAsia" w:ascii="宋体" w:hAnsi="宋体"/>
          <w:szCs w:val="21"/>
          <w:highlight w:val="yellow"/>
        </w:rPr>
        <w:t>收件人</w:t>
      </w:r>
      <w:r>
        <w:rPr>
          <w:rFonts w:hint="eastAsia" w:ascii="宋体" w:hAnsi="宋体"/>
          <w:szCs w:val="21"/>
          <w:highlight w:val="yellow"/>
          <w:lang w:val="en-US" w:eastAsia="zh-CN"/>
        </w:rPr>
        <w:t>徐晶</w:t>
      </w:r>
      <w:r>
        <w:rPr>
          <w:rFonts w:hint="eastAsia" w:ascii="宋体" w:hAnsi="宋体"/>
          <w:szCs w:val="21"/>
          <w:highlight w:val="yellow"/>
        </w:rPr>
        <w:t>，电话</w:t>
      </w:r>
      <w:r>
        <w:rPr>
          <w:rFonts w:hint="eastAsia" w:ascii="宋体" w:hAnsi="宋体"/>
          <w:szCs w:val="21"/>
          <w:highlight w:val="yellow"/>
          <w:lang w:val="en-US" w:eastAsia="zh-CN"/>
        </w:rPr>
        <w:t>15868177367</w:t>
      </w:r>
      <w:r>
        <w:rPr>
          <w:rFonts w:hint="eastAsia" w:ascii="宋体" w:hAnsi="宋体"/>
          <w:szCs w:val="21"/>
          <w:highlight w:val="yellow"/>
          <w:u w:val="single"/>
        </w:rPr>
        <w:t xml:space="preserve">      </w:t>
      </w:r>
      <w:r>
        <w:rPr>
          <w:rFonts w:hint="eastAsia" w:ascii="宋体" w:hAnsi="宋体"/>
          <w:szCs w:val="21"/>
          <w:highlight w:val="yellow"/>
        </w:rPr>
        <w:t>，邮编</w:t>
      </w:r>
      <w:r>
        <w:rPr>
          <w:rFonts w:hint="eastAsia" w:ascii="宋体" w:hAnsi="宋体"/>
          <w:szCs w:val="21"/>
          <w:highlight w:val="yellow"/>
          <w:lang w:val="en-US" w:eastAsia="zh-CN"/>
        </w:rPr>
        <w:t>311225</w:t>
      </w:r>
      <w:r>
        <w:rPr>
          <w:rFonts w:hint="eastAsia" w:ascii="宋体" w:hAnsi="宋体"/>
          <w:szCs w:val="21"/>
          <w:highlight w:val="yellow"/>
          <w:u w:val="single"/>
        </w:rPr>
        <w:t xml:space="preserve">      </w:t>
      </w:r>
      <w:r>
        <w:rPr>
          <w:rFonts w:hint="eastAsia" w:ascii="宋体" w:hAnsi="宋体"/>
          <w:szCs w:val="21"/>
          <w:highlight w:val="yellow"/>
        </w:rPr>
        <w:t>，电子邮箱jing.xj@xier-inc.com</w:t>
      </w:r>
      <w:r>
        <w:rPr>
          <w:rFonts w:hint="eastAsia" w:ascii="宋体" w:hAnsi="宋体"/>
          <w:szCs w:val="21"/>
          <w:highlight w:val="yellow"/>
          <w:u w:val="single"/>
        </w:rPr>
        <w:t xml:space="preserve">        </w:t>
      </w:r>
      <w:r>
        <w:rPr>
          <w:rFonts w:hint="eastAsia" w:ascii="宋体" w:hAnsi="宋体"/>
          <w:szCs w:val="21"/>
          <w:highlight w:val="yellow"/>
        </w:rPr>
        <w:t xml:space="preserve"> 。</w:t>
      </w:r>
      <w:r>
        <w:rPr>
          <w:rFonts w:hint="eastAsia" w:ascii="宋体" w:hAnsi="宋体"/>
          <w:szCs w:val="21"/>
        </w:rPr>
        <w:t>同时，若前述通信地址变更，为不耽误您的发票及时邮寄，</w:t>
      </w:r>
      <w:r>
        <w:fldChar w:fldCharType="begin"/>
      </w:r>
      <w:r>
        <w:instrText xml:space="preserve"> HYPERLINK "mailto:请将变更信息反馈至zsfapiao@dangdang.com" </w:instrText>
      </w:r>
      <w:r>
        <w:fldChar w:fldCharType="separate"/>
      </w:r>
      <w:r>
        <w:rPr>
          <w:rFonts w:hint="eastAsia"/>
          <w:szCs w:val="21"/>
        </w:rPr>
        <w:t>请将变更信息反馈至</w:t>
      </w:r>
      <w:r>
        <w:rPr>
          <w:rFonts w:ascii="宋体" w:hAnsi="宋体"/>
          <w:szCs w:val="21"/>
        </w:rPr>
        <w:t>zsfapiao@dangdang.com</w:t>
      </w:r>
      <w:r>
        <w:rPr>
          <w:rFonts w:ascii="宋体" w:hAnsi="宋体"/>
          <w:szCs w:val="21"/>
        </w:rPr>
        <w:fldChar w:fldCharType="end"/>
      </w:r>
      <w:r>
        <w:rPr>
          <w:rFonts w:hint="eastAsia" w:ascii="宋体" w:hAnsi="宋体"/>
          <w:szCs w:val="21"/>
        </w:rPr>
        <w:t>电子邮箱。</w:t>
      </w:r>
    </w:p>
    <w:p>
      <w:pPr>
        <w:pStyle w:val="32"/>
        <w:tabs>
          <w:tab w:val="left" w:pos="0"/>
        </w:tabs>
        <w:spacing w:line="360" w:lineRule="exact"/>
        <w:jc w:val="left"/>
        <w:rPr>
          <w:rFonts w:ascii="宋体" w:hAnsi="宋体"/>
          <w:highlight w:val="yellow"/>
        </w:rPr>
      </w:pPr>
      <w:r>
        <w:rPr>
          <w:rFonts w:hint="eastAsia" w:ascii="宋体" w:hAnsi="宋体"/>
          <w:szCs w:val="21"/>
          <w:highlight w:val="yellow"/>
        </w:rPr>
        <w:t>14.7</w:t>
      </w:r>
      <w:r>
        <w:rPr>
          <w:rFonts w:hint="eastAsia" w:ascii="宋体" w:hAnsi="宋体"/>
          <w:highlight w:val="yellow"/>
        </w:rPr>
        <w:t xml:space="preserve">商户的注册地址为：浙江省杭州市滨江区长河街道江虹路611号1号楼202室 </w:t>
      </w:r>
    </w:p>
    <w:p>
      <w:pPr>
        <w:pStyle w:val="32"/>
        <w:tabs>
          <w:tab w:val="left" w:pos="0"/>
        </w:tabs>
        <w:spacing w:line="360" w:lineRule="exact"/>
        <w:jc w:val="left"/>
        <w:rPr>
          <w:rFonts w:ascii="宋体" w:hAnsi="宋体"/>
          <w:szCs w:val="21"/>
          <w:highlight w:val="yellow"/>
        </w:rPr>
      </w:pPr>
      <w:bookmarkStart w:id="0" w:name="_GoBack"/>
      <w:r>
        <w:rPr>
          <w:rFonts w:hint="eastAsia" w:ascii="宋体" w:hAnsi="宋体"/>
          <w:szCs w:val="21"/>
          <w:highlight w:val="yellow"/>
        </w:rPr>
        <w:t xml:space="preserve">商户的实际办公经营地址为：浙江省杭州市滨江区长河街道江虹路611号1号楼202室 </w:t>
      </w:r>
    </w:p>
    <w:bookmarkEnd w:id="0"/>
    <w:p>
      <w:pPr>
        <w:pStyle w:val="32"/>
        <w:tabs>
          <w:tab w:val="left" w:pos="0"/>
        </w:tabs>
        <w:spacing w:line="360" w:lineRule="exact"/>
        <w:jc w:val="left"/>
        <w:rPr>
          <w:rFonts w:ascii="宋体" w:hAnsi="宋体"/>
          <w:szCs w:val="21"/>
        </w:rPr>
      </w:pPr>
      <w:r>
        <w:rPr>
          <w:rFonts w:hint="eastAsia" w:ascii="宋体" w:hAnsi="宋体"/>
          <w:szCs w:val="21"/>
          <w:highlight w:val="yellow"/>
        </w:rPr>
        <w:t>商户的有效发货地址为：浙江省金华市金东区孝顺镇斜塘工业区希望路2号</w:t>
      </w:r>
    </w:p>
    <w:p>
      <w:pPr>
        <w:spacing w:line="360" w:lineRule="exact"/>
        <w:ind w:firstLine="420"/>
        <w:rPr>
          <w:rFonts w:ascii="宋体" w:hAnsi="宋体"/>
          <w:kern w:val="0"/>
          <w:szCs w:val="21"/>
        </w:rPr>
      </w:pPr>
      <w:r>
        <w:rPr>
          <w:rFonts w:hint="eastAsia" w:ascii="宋体" w:hAnsi="宋体"/>
          <w:kern w:val="0"/>
          <w:szCs w:val="21"/>
        </w:rPr>
        <w:t>商户应对其提供的上述地址的真实性及准确性负完全的责任，如上述地址发生变更商户需提前通过书面或邮件方式通知当当并向平台相关部门进行备案。如当当发现商户提供的地址信息有虚假或不准确，当当有权对商户作下线处理，由此</w:t>
      </w:r>
      <w:r>
        <w:rPr>
          <w:rFonts w:ascii="宋体" w:hAnsi="宋体"/>
          <w:kern w:val="0"/>
          <w:szCs w:val="21"/>
        </w:rPr>
        <w:t>造成的损失均由商户承担</w:t>
      </w:r>
      <w:r>
        <w:rPr>
          <w:rFonts w:hint="eastAsia" w:ascii="宋体" w:hAnsi="宋体"/>
          <w:kern w:val="0"/>
          <w:szCs w:val="21"/>
        </w:rPr>
        <w:t>。</w:t>
      </w:r>
    </w:p>
    <w:p>
      <w:pPr>
        <w:spacing w:line="360" w:lineRule="exact"/>
        <w:ind w:firstLine="420"/>
        <w:rPr>
          <w:rFonts w:ascii="宋体" w:hAnsi="宋体"/>
          <w:szCs w:val="21"/>
        </w:rPr>
      </w:pPr>
      <w:r>
        <w:rPr>
          <w:rFonts w:hint="eastAsia" w:ascii="宋体" w:hAnsi="宋体"/>
          <w:kern w:val="0"/>
          <w:szCs w:val="21"/>
        </w:rPr>
        <w:t>商户应</w:t>
      </w:r>
      <w:r>
        <w:rPr>
          <w:rFonts w:ascii="宋体" w:hAnsi="宋体"/>
          <w:kern w:val="0"/>
          <w:szCs w:val="21"/>
        </w:rPr>
        <w:t>保证</w:t>
      </w:r>
      <w:r>
        <w:rPr>
          <w:rFonts w:hint="eastAsia" w:ascii="宋体" w:hAnsi="宋体"/>
          <w:kern w:val="0"/>
          <w:szCs w:val="21"/>
        </w:rPr>
        <w:t>其</w:t>
      </w:r>
      <w:r>
        <w:rPr>
          <w:rFonts w:ascii="宋体" w:hAnsi="宋体"/>
          <w:kern w:val="0"/>
          <w:szCs w:val="21"/>
        </w:rPr>
        <w:t>提供的发货地址真实、准确，如当当</w:t>
      </w:r>
      <w:r>
        <w:rPr>
          <w:rFonts w:hint="eastAsia" w:ascii="宋体" w:hAnsi="宋体"/>
          <w:kern w:val="0"/>
          <w:szCs w:val="21"/>
        </w:rPr>
        <w:t>发现</w:t>
      </w:r>
      <w:r>
        <w:rPr>
          <w:rFonts w:ascii="宋体" w:hAnsi="宋体"/>
          <w:kern w:val="0"/>
          <w:szCs w:val="21"/>
        </w:rPr>
        <w:t>物流信息显示的发货地址与商户提供的地址不符的，当当有权单方终止本协议</w:t>
      </w:r>
      <w:r>
        <w:rPr>
          <w:rFonts w:hint="eastAsia" w:ascii="宋体" w:hAnsi="宋体"/>
          <w:kern w:val="0"/>
          <w:szCs w:val="21"/>
        </w:rPr>
        <w:t>并</w:t>
      </w:r>
      <w:r>
        <w:rPr>
          <w:rFonts w:ascii="宋体" w:hAnsi="宋体"/>
          <w:kern w:val="0"/>
          <w:szCs w:val="21"/>
        </w:rPr>
        <w:t>要求商户承担违约责任，包括但不限于扣除保证金、</w:t>
      </w:r>
      <w:r>
        <w:rPr>
          <w:rFonts w:hint="eastAsia" w:ascii="宋体" w:hAnsi="宋体"/>
          <w:kern w:val="0"/>
          <w:szCs w:val="21"/>
        </w:rPr>
        <w:t>冻结</w:t>
      </w:r>
      <w:r>
        <w:rPr>
          <w:rFonts w:ascii="宋体" w:hAnsi="宋体"/>
          <w:kern w:val="0"/>
          <w:szCs w:val="21"/>
        </w:rPr>
        <w:t>货款</w:t>
      </w:r>
      <w:r>
        <w:rPr>
          <w:rFonts w:hint="eastAsia" w:ascii="宋体" w:hAnsi="宋体"/>
          <w:kern w:val="0"/>
          <w:szCs w:val="21"/>
        </w:rPr>
        <w:t>、</w:t>
      </w:r>
      <w:r>
        <w:rPr>
          <w:rFonts w:ascii="宋体" w:hAnsi="宋体"/>
          <w:kern w:val="0"/>
          <w:szCs w:val="21"/>
        </w:rPr>
        <w:t>扣除货款等。</w:t>
      </w:r>
    </w:p>
    <w:p>
      <w:pPr>
        <w:spacing w:line="360" w:lineRule="exact"/>
        <w:rPr>
          <w:rFonts w:ascii="宋体" w:hAnsi="宋体"/>
          <w:kern w:val="0"/>
          <w:szCs w:val="21"/>
          <w:u w:val="single"/>
        </w:rPr>
      </w:pPr>
    </w:p>
    <w:p>
      <w:pPr>
        <w:spacing w:line="360" w:lineRule="exact"/>
        <w:rPr>
          <w:rFonts w:ascii="宋体" w:hAnsi="宋体"/>
          <w:szCs w:val="21"/>
        </w:rPr>
      </w:pPr>
      <w:r>
        <w:rPr>
          <w:rFonts w:hint="eastAsia" w:ascii="宋体" w:hAnsi="宋体"/>
          <w:szCs w:val="21"/>
        </w:rPr>
        <w:t>(以下空白)</w:t>
      </w:r>
    </w:p>
    <w:p>
      <w:pPr>
        <w:spacing w:line="360" w:lineRule="exact"/>
        <w:rPr>
          <w:rFonts w:ascii="宋体" w:hAnsi="宋体"/>
          <w:b/>
          <w:kern w:val="0"/>
          <w:szCs w:val="21"/>
        </w:rPr>
      </w:pPr>
    </w:p>
    <w:p>
      <w:pPr>
        <w:spacing w:line="360" w:lineRule="exact"/>
        <w:rPr>
          <w:rFonts w:ascii="宋体" w:hAnsi="宋体"/>
          <w:b/>
          <w:sz w:val="28"/>
          <w:szCs w:val="28"/>
        </w:rPr>
      </w:pPr>
      <w:r>
        <w:rPr>
          <w:rFonts w:hint="eastAsia" w:ascii="宋体" w:hAnsi="宋体"/>
          <w:b/>
          <w:kern w:val="0"/>
          <w:szCs w:val="21"/>
        </w:rPr>
        <w:t>附件1</w:t>
      </w:r>
    </w:p>
    <w:p>
      <w:pPr>
        <w:spacing w:before="156" w:beforeLines="50" w:after="156" w:afterLines="50" w:line="400" w:lineRule="exact"/>
        <w:jc w:val="center"/>
        <w:rPr>
          <w:rFonts w:ascii="宋体" w:hAnsi="宋体"/>
          <w:b/>
          <w:sz w:val="28"/>
          <w:szCs w:val="28"/>
        </w:rPr>
      </w:pPr>
      <w:r>
        <w:rPr>
          <w:rFonts w:hint="eastAsia" w:ascii="宋体" w:hAnsi="宋体"/>
          <w:b/>
          <w:sz w:val="28"/>
          <w:szCs w:val="28"/>
        </w:rPr>
        <w:t>消费者保障服务协议</w:t>
      </w:r>
    </w:p>
    <w:p>
      <w:pPr>
        <w:widowControl/>
        <w:spacing w:before="156" w:beforeLines="50" w:after="156" w:afterLines="50" w:line="380" w:lineRule="exact"/>
        <w:jc w:val="left"/>
        <w:outlineLvl w:val="0"/>
        <w:rPr>
          <w:rFonts w:ascii="宋体" w:hAnsi="宋体"/>
          <w:kern w:val="0"/>
          <w:szCs w:val="21"/>
        </w:rPr>
      </w:pPr>
      <w:r>
        <w:rPr>
          <w:rFonts w:hint="eastAsia" w:ascii="宋体" w:hAnsi="宋体"/>
          <w:b/>
          <w:kern w:val="0"/>
          <w:szCs w:val="21"/>
        </w:rPr>
        <w:t>1.定义</w:t>
      </w:r>
    </w:p>
    <w:p>
      <w:pPr>
        <w:widowControl/>
        <w:spacing w:line="380" w:lineRule="exact"/>
        <w:ind w:firstLine="420" w:firstLineChars="200"/>
        <w:rPr>
          <w:rFonts w:ascii="宋体" w:hAnsi="宋体"/>
          <w:kern w:val="0"/>
          <w:szCs w:val="21"/>
        </w:rPr>
      </w:pPr>
      <w:r>
        <w:rPr>
          <w:rFonts w:hint="eastAsia" w:ascii="宋体" w:hAnsi="宋体"/>
          <w:kern w:val="0"/>
          <w:szCs w:val="21"/>
        </w:rPr>
        <w:t>1.1除非本协议另有规定或根据上下文含义另有所指，本协议所称商家，即《当当网商户技术服务协议》之商户；当当网即《当当网商技术户服务协议》之当当。</w:t>
      </w:r>
    </w:p>
    <w:p>
      <w:pPr>
        <w:widowControl/>
        <w:spacing w:line="380" w:lineRule="exact"/>
        <w:ind w:firstLine="420" w:firstLineChars="200"/>
        <w:rPr>
          <w:rFonts w:ascii="宋体" w:hAnsi="宋体"/>
          <w:kern w:val="0"/>
          <w:szCs w:val="21"/>
        </w:rPr>
      </w:pPr>
      <w:r>
        <w:rPr>
          <w:rFonts w:hint="eastAsia" w:ascii="宋体" w:hAnsi="宋体"/>
          <w:kern w:val="0"/>
          <w:szCs w:val="21"/>
        </w:rPr>
        <w:t>1.2消费者保障服务：是指商家根据本协议及当当其他公示规定的消费者保障服务项目，就其通过当当开放平台发布商品出售信息并向当当买家(下称"买家")出售的商品，向买家提供的相应的商品售后服务，包括但不限于商品如实描述、遵守承诺、正品保障等。消费者保障服务是商家向买家提供的服务，商家是该服务责任者，当当不是相关的责任者。当当可在当当不时公示新增的服务项目或服务项目修改。</w:t>
      </w:r>
    </w:p>
    <w:p>
      <w:pPr>
        <w:widowControl/>
        <w:spacing w:line="380" w:lineRule="exact"/>
        <w:ind w:firstLine="420" w:firstLineChars="200"/>
        <w:rPr>
          <w:rFonts w:ascii="宋体" w:hAnsi="宋体"/>
          <w:kern w:val="0"/>
          <w:szCs w:val="21"/>
        </w:rPr>
      </w:pPr>
      <w:r>
        <w:rPr>
          <w:rFonts w:hint="eastAsia" w:ascii="宋体" w:hAnsi="宋体"/>
          <w:kern w:val="0"/>
          <w:szCs w:val="21"/>
        </w:rPr>
        <w:t>1.3消费者权益保证金：指商家根据与当当签订的《当当网商户技术服务协议》规定，缴存并授权当当处置的用于赔付的资金。当当可以依据本协议、与商家签署的其它协议、当当有关规则冻结、使用、处置保证金。</w:t>
      </w:r>
    </w:p>
    <w:p>
      <w:pPr>
        <w:widowControl/>
        <w:spacing w:line="380" w:lineRule="exact"/>
        <w:ind w:firstLine="420" w:firstLineChars="200"/>
        <w:rPr>
          <w:rFonts w:ascii="宋体" w:hAnsi="宋体"/>
          <w:kern w:val="0"/>
          <w:szCs w:val="21"/>
        </w:rPr>
      </w:pPr>
      <w:r>
        <w:rPr>
          <w:rFonts w:hint="eastAsia" w:ascii="宋体" w:hAnsi="宋体"/>
          <w:kern w:val="0"/>
          <w:szCs w:val="21"/>
        </w:rPr>
        <w:t>1.4投诉赔付：当买家通过当当进行交易后，若因该交易导致买家权益受损，买家有权在交易成功后向当当发起针对商家的投诉，并提出赔付申请。当当有权以普通或非专业人员的知识水平标准，根据相关证据材料及规则判定买家赔付申请成立的，则有权直接扣除商家相应金额款项赔付给买家。当当行使该授权不意味着当当取代商家成为交易销售方，或取代商家承担根据法律规定作为商品销售方应承担的任何或所有义务。即便本协议终止，当当仍有权根据本协议的规定处理因本协议有效期内发生的交易所导致的买家索赔。</w:t>
      </w:r>
    </w:p>
    <w:p>
      <w:pPr>
        <w:widowControl/>
        <w:spacing w:line="380" w:lineRule="exact"/>
        <w:ind w:firstLine="420" w:firstLineChars="200"/>
        <w:rPr>
          <w:rFonts w:ascii="宋体" w:hAnsi="宋体"/>
          <w:kern w:val="0"/>
          <w:szCs w:val="21"/>
        </w:rPr>
      </w:pPr>
      <w:r>
        <w:rPr>
          <w:rFonts w:hint="eastAsia" w:ascii="宋体" w:hAnsi="宋体"/>
          <w:kern w:val="0"/>
          <w:szCs w:val="21"/>
        </w:rPr>
        <w:t>1.5罚金：本协议所称罚金，是指在日常经营活动中，商家违反本协议及其他规定需向当当支付的专项违约金，商家有前述情形的，应叠加适用罚金及《当当网商户技术服务协议》或其从属规定中的违约金、赔偿金。</w:t>
      </w:r>
    </w:p>
    <w:p>
      <w:pPr>
        <w:widowControl/>
        <w:spacing w:before="156" w:beforeLines="50" w:after="156" w:afterLines="50" w:line="380" w:lineRule="exact"/>
        <w:jc w:val="left"/>
        <w:outlineLvl w:val="0"/>
        <w:rPr>
          <w:rFonts w:ascii="宋体" w:hAnsi="宋体"/>
          <w:b/>
          <w:kern w:val="0"/>
          <w:szCs w:val="21"/>
        </w:rPr>
      </w:pPr>
      <w:r>
        <w:rPr>
          <w:rFonts w:hint="eastAsia" w:ascii="宋体" w:hAnsi="宋体"/>
          <w:b/>
          <w:kern w:val="0"/>
          <w:szCs w:val="21"/>
        </w:rPr>
        <w:t>2.协议内容、修改</w:t>
      </w:r>
    </w:p>
    <w:p>
      <w:pPr>
        <w:widowControl/>
        <w:spacing w:line="380" w:lineRule="exact"/>
        <w:ind w:firstLine="420" w:firstLineChars="200"/>
        <w:rPr>
          <w:rFonts w:ascii="宋体" w:hAnsi="宋体"/>
          <w:kern w:val="0"/>
          <w:szCs w:val="21"/>
        </w:rPr>
      </w:pPr>
      <w:r>
        <w:rPr>
          <w:rFonts w:hint="eastAsia" w:ascii="宋体" w:hAnsi="宋体"/>
          <w:kern w:val="0"/>
          <w:szCs w:val="21"/>
        </w:rPr>
        <w:t>2.1本协议内容包括协议正文、正文提及的规则及所有当当上关于“消费者保障服务”将来可能发布的各类规则（下称“消费者保障服务规则”），</w:t>
      </w:r>
      <w:r>
        <w:rPr>
          <w:rFonts w:hint="eastAsia" w:ascii="宋体" w:hAnsi="宋体"/>
          <w:b/>
          <w:kern w:val="0"/>
          <w:szCs w:val="21"/>
        </w:rPr>
        <w:t>包括但不限于《入驻商户管理规则》</w:t>
      </w:r>
      <w:r>
        <w:rPr>
          <w:rFonts w:hint="eastAsia" w:ascii="宋体" w:hAnsi="宋体"/>
          <w:kern w:val="0"/>
          <w:szCs w:val="21"/>
        </w:rPr>
        <w:t>。</w:t>
      </w:r>
      <w:r>
        <w:rPr>
          <w:rFonts w:hint="eastAsia" w:ascii="宋体" w:hAnsi="宋体"/>
          <w:b/>
          <w:kern w:val="0"/>
          <w:szCs w:val="21"/>
        </w:rPr>
        <w:t>所有这些规则都应视为本协议不可分割的一部分，与协议正文具有同等法律效力。</w:t>
      </w:r>
    </w:p>
    <w:p>
      <w:pPr>
        <w:widowControl/>
        <w:spacing w:line="380" w:lineRule="exact"/>
        <w:ind w:firstLine="420" w:firstLineChars="200"/>
        <w:rPr>
          <w:rFonts w:ascii="宋体" w:hAnsi="宋体"/>
          <w:kern w:val="0"/>
          <w:szCs w:val="21"/>
        </w:rPr>
      </w:pPr>
      <w:r>
        <w:rPr>
          <w:rFonts w:hint="eastAsia" w:ascii="宋体" w:hAnsi="宋体"/>
          <w:kern w:val="0"/>
          <w:szCs w:val="21"/>
        </w:rPr>
        <w:t>2.2规则的修改与发布：当当有权根据需要不时地修改已有规则或制定发布新规则，当当将在当当上刊载公告，通知商家。如商家不同意相关变更，商家必须提出协议终止申请。修改或新规则一经在当当公布后，立即自动生效，当当另有规定的除外。若商家对修改不做出书面异议则视为商家接受相关修改。</w:t>
      </w:r>
    </w:p>
    <w:p>
      <w:pPr>
        <w:widowControl/>
        <w:spacing w:line="380" w:lineRule="exact"/>
        <w:ind w:firstLine="420" w:firstLineChars="200"/>
        <w:rPr>
          <w:rFonts w:ascii="宋体" w:hAnsi="宋体"/>
          <w:kern w:val="0"/>
          <w:szCs w:val="21"/>
        </w:rPr>
      </w:pPr>
      <w:r>
        <w:rPr>
          <w:rFonts w:hint="eastAsia" w:ascii="宋体" w:hAnsi="宋体"/>
          <w:kern w:val="0"/>
          <w:szCs w:val="21"/>
        </w:rPr>
        <w:t>2.3本协议与《当当网商户技术服务协议》规定有不一致的部分，按本协议执行。</w:t>
      </w:r>
    </w:p>
    <w:p>
      <w:pPr>
        <w:widowControl/>
        <w:spacing w:before="156" w:beforeLines="50" w:after="156" w:afterLines="50" w:line="380" w:lineRule="exact"/>
        <w:jc w:val="left"/>
        <w:outlineLvl w:val="0"/>
        <w:rPr>
          <w:rFonts w:ascii="宋体" w:hAnsi="宋体"/>
          <w:b/>
          <w:kern w:val="0"/>
          <w:szCs w:val="21"/>
        </w:rPr>
      </w:pPr>
      <w:r>
        <w:rPr>
          <w:rFonts w:hint="eastAsia" w:ascii="宋体" w:hAnsi="宋体"/>
          <w:b/>
          <w:kern w:val="0"/>
          <w:szCs w:val="21"/>
        </w:rPr>
        <w:t>3.商家的权利义务</w:t>
      </w:r>
    </w:p>
    <w:p>
      <w:pPr>
        <w:widowControl/>
        <w:spacing w:line="380" w:lineRule="exact"/>
        <w:ind w:firstLine="420" w:firstLineChars="200"/>
        <w:rPr>
          <w:rFonts w:ascii="宋体" w:hAnsi="宋体"/>
          <w:kern w:val="0"/>
          <w:szCs w:val="21"/>
        </w:rPr>
      </w:pPr>
      <w:r>
        <w:rPr>
          <w:rFonts w:hint="eastAsia" w:ascii="宋体" w:hAnsi="宋体" w:cs="新宋体"/>
          <w:kern w:val="0"/>
          <w:szCs w:val="21"/>
        </w:rPr>
        <w:t>3.1</w:t>
      </w:r>
      <w:r>
        <w:rPr>
          <w:rFonts w:hint="eastAsia" w:ascii="宋体" w:hAnsi="宋体" w:cs="新宋体"/>
          <w:kern w:val="0"/>
          <w:szCs w:val="21"/>
          <w:lang w:val="zh-CN"/>
        </w:rPr>
        <w:t>商家有义务优选高质量商品，维护当当及商家商誉，不得发布和销售任何假货、水货、A货、二手货、翻新货、返修货等国家法律法规规定的禁售商品及当当规则规定禁售商品等禁止销售商品，否则商家同意一经发现禁止销售商品，当当将根据具体情况给予商家至少10万元人民币的罚款及要求商家向消费者承担假一赔五责任，并有权直接从商家保证金及其在当当销售款中划扣相应罚款和赔偿金额，若金额不足，商家应在10个工作日内向当当上缴相应罚款金额，逾期未缴纳，当当自逾期之日起收取罚款金额的千分之五作为日滞纳金，直至商家缴清罚款及产生的滞纳金，否则当当有权终止本协议并提起法律诉讼，商家承担给当当造成的相关损失（包括但不限于诉讼赔偿、诉讼费用、律师费用等）。</w:t>
      </w:r>
    </w:p>
    <w:p>
      <w:pPr>
        <w:widowControl/>
        <w:spacing w:line="380" w:lineRule="exact"/>
        <w:ind w:firstLine="420" w:firstLineChars="200"/>
        <w:rPr>
          <w:rFonts w:ascii="宋体" w:hAnsi="宋体"/>
          <w:kern w:val="0"/>
          <w:szCs w:val="21"/>
        </w:rPr>
      </w:pPr>
      <w:r>
        <w:rPr>
          <w:rFonts w:hint="eastAsia" w:ascii="宋体" w:hAnsi="宋体"/>
          <w:kern w:val="0"/>
          <w:szCs w:val="21"/>
        </w:rPr>
        <w:t>3.2商家同意遵守当当公示的规则、文件、问答等信息。</w:t>
      </w:r>
    </w:p>
    <w:p>
      <w:pPr>
        <w:widowControl/>
        <w:spacing w:line="380" w:lineRule="exact"/>
        <w:ind w:firstLine="420" w:firstLineChars="200"/>
        <w:rPr>
          <w:rFonts w:ascii="宋体" w:hAnsi="宋体"/>
          <w:kern w:val="0"/>
          <w:szCs w:val="21"/>
        </w:rPr>
      </w:pPr>
      <w:r>
        <w:rPr>
          <w:rFonts w:hint="eastAsia" w:ascii="宋体" w:hAnsi="宋体"/>
          <w:kern w:val="0"/>
          <w:szCs w:val="21"/>
        </w:rPr>
        <w:t>3.3商家明确了解并同意商家是消费者保障的责任主体。当发生本协议前述商家应当履行消费者保障义务情形时，商家应保证买家的消费者权益。对于买家因前述问题提出的要求，商户应积极处理。当买家根据有关规则提起索赔后，商家有义务严格履行本协议及当当有关规则，支持并配合当当执行本协议并支持当当根据其判断做出的行为。</w:t>
      </w:r>
    </w:p>
    <w:p>
      <w:pPr>
        <w:widowControl/>
        <w:spacing w:line="380" w:lineRule="exact"/>
        <w:ind w:firstLine="420" w:firstLineChars="200"/>
        <w:rPr>
          <w:rFonts w:ascii="宋体" w:hAnsi="宋体"/>
          <w:kern w:val="0"/>
          <w:szCs w:val="21"/>
        </w:rPr>
      </w:pPr>
      <w:r>
        <w:rPr>
          <w:rFonts w:hint="eastAsia" w:ascii="宋体" w:hAnsi="宋体"/>
          <w:kern w:val="0"/>
          <w:szCs w:val="21"/>
        </w:rPr>
        <w:t>3.4商家在此授权当当有权冻结或处置其缴存的保证金。</w:t>
      </w:r>
    </w:p>
    <w:p>
      <w:pPr>
        <w:widowControl/>
        <w:spacing w:line="380" w:lineRule="exact"/>
        <w:ind w:firstLine="420" w:firstLineChars="200"/>
        <w:rPr>
          <w:rFonts w:ascii="宋体" w:hAnsi="宋体"/>
          <w:kern w:val="0"/>
          <w:szCs w:val="21"/>
        </w:rPr>
      </w:pPr>
      <w:r>
        <w:rPr>
          <w:rFonts w:hint="eastAsia" w:ascii="宋体" w:hAnsi="宋体"/>
          <w:kern w:val="0"/>
          <w:szCs w:val="21"/>
        </w:rPr>
        <w:t>3.5商家应按以下规定缴存并授权当当处置保证金：</w:t>
      </w:r>
    </w:p>
    <w:p>
      <w:pPr>
        <w:widowControl/>
        <w:spacing w:line="380" w:lineRule="exact"/>
        <w:ind w:firstLine="420" w:firstLineChars="200"/>
        <w:rPr>
          <w:rFonts w:ascii="宋体" w:hAnsi="宋体"/>
          <w:kern w:val="0"/>
          <w:szCs w:val="21"/>
        </w:rPr>
      </w:pPr>
      <w:r>
        <w:rPr>
          <w:rFonts w:hint="eastAsia" w:ascii="宋体" w:hAnsi="宋体"/>
          <w:kern w:val="0"/>
          <w:szCs w:val="21"/>
        </w:rPr>
        <w:t>3.5.1保证金的缴存与冻结：</w:t>
      </w:r>
    </w:p>
    <w:p>
      <w:pPr>
        <w:widowControl/>
        <w:spacing w:line="380" w:lineRule="exact"/>
        <w:ind w:firstLine="420" w:firstLineChars="200"/>
        <w:rPr>
          <w:rFonts w:ascii="宋体" w:hAnsi="宋体"/>
          <w:kern w:val="0"/>
          <w:szCs w:val="21"/>
        </w:rPr>
      </w:pPr>
      <w:r>
        <w:rPr>
          <w:rFonts w:hint="eastAsia" w:ascii="宋体" w:hAnsi="宋体"/>
          <w:kern w:val="0"/>
          <w:szCs w:val="21"/>
        </w:rPr>
        <w:t>在商家确认并接受本协议后，商家应按当当规定或通知的金额缴存保证金，同时当当冻结该笔保证金。当当有权根据商家之业务变化及实际赔付情况以书面方式通知商家调整保证金金额。</w:t>
      </w:r>
    </w:p>
    <w:p>
      <w:pPr>
        <w:widowControl/>
        <w:spacing w:line="380" w:lineRule="exact"/>
        <w:ind w:firstLine="420" w:firstLineChars="200"/>
        <w:rPr>
          <w:rFonts w:ascii="宋体" w:hAnsi="宋体"/>
          <w:kern w:val="0"/>
          <w:szCs w:val="21"/>
        </w:rPr>
      </w:pPr>
      <w:r>
        <w:rPr>
          <w:rFonts w:hint="eastAsia" w:ascii="宋体" w:hAnsi="宋体"/>
          <w:kern w:val="0"/>
          <w:szCs w:val="21"/>
        </w:rPr>
        <w:t>3.5.2保证金的管理和使用：</w:t>
      </w:r>
    </w:p>
    <w:p>
      <w:pPr>
        <w:widowControl/>
        <w:spacing w:line="380" w:lineRule="exact"/>
        <w:ind w:firstLine="420" w:firstLineChars="200"/>
        <w:rPr>
          <w:rFonts w:ascii="宋体" w:hAnsi="宋体"/>
          <w:kern w:val="0"/>
          <w:szCs w:val="21"/>
        </w:rPr>
      </w:pPr>
      <w:r>
        <w:rPr>
          <w:rFonts w:hint="eastAsia" w:ascii="宋体" w:hAnsi="宋体"/>
          <w:kern w:val="0"/>
          <w:szCs w:val="21"/>
        </w:rPr>
        <w:t>除保证金的冻结外，当当有权按以下方式对保证金进行管理和使用：</w:t>
      </w:r>
    </w:p>
    <w:p>
      <w:pPr>
        <w:widowControl/>
        <w:spacing w:line="380" w:lineRule="exact"/>
        <w:ind w:firstLine="420" w:firstLineChars="200"/>
        <w:rPr>
          <w:rFonts w:ascii="宋体" w:hAnsi="宋体"/>
          <w:kern w:val="0"/>
          <w:szCs w:val="21"/>
        </w:rPr>
      </w:pPr>
      <w:r>
        <w:rPr>
          <w:rFonts w:hint="eastAsia" w:ascii="宋体" w:hAnsi="宋体"/>
          <w:kern w:val="0"/>
          <w:szCs w:val="21"/>
        </w:rPr>
        <w:t>1）如协议期内商家未有违反当当各项规则的行为，且在协议期内的交易包括但不限于交易产生的纠纷都处理结束，则在协议终止后，当当将在协议期内的最后一笔交易完成后3个月内解除对保证金的冻结，本协议另有规定除外。</w:t>
      </w:r>
    </w:p>
    <w:p>
      <w:pPr>
        <w:widowControl/>
        <w:spacing w:line="380" w:lineRule="exact"/>
        <w:ind w:firstLine="420" w:firstLineChars="200"/>
        <w:rPr>
          <w:rFonts w:ascii="宋体" w:hAnsi="宋体"/>
          <w:kern w:val="0"/>
          <w:szCs w:val="21"/>
        </w:rPr>
      </w:pPr>
      <w:r>
        <w:rPr>
          <w:rFonts w:hint="eastAsia" w:ascii="宋体" w:hAnsi="宋体"/>
          <w:kern w:val="0"/>
          <w:szCs w:val="21"/>
        </w:rPr>
        <w:t>2）当当可在包括但不限于以下情况发生时，处置保证金：</w:t>
      </w:r>
    </w:p>
    <w:p>
      <w:pPr>
        <w:widowControl/>
        <w:spacing w:line="380" w:lineRule="exact"/>
        <w:ind w:firstLine="420" w:firstLineChars="200"/>
        <w:rPr>
          <w:rFonts w:ascii="宋体" w:hAnsi="宋体"/>
          <w:kern w:val="0"/>
          <w:szCs w:val="21"/>
        </w:rPr>
      </w:pPr>
      <w:r>
        <w:rPr>
          <w:rFonts w:hint="eastAsia" w:ascii="宋体" w:hAnsi="宋体"/>
          <w:kern w:val="0"/>
          <w:szCs w:val="21"/>
        </w:rPr>
        <w:t>(a)商家同意：若商家在当当发布商品、达成交易、履行交易相关义务中，违反法律、法规、政策、当当任何规则或违反其对买家的承诺，或被买家投诉、索赔时，当当有完全的权利和权力根据当当自行的判断，无须承担责任地，直接使用保证金对买家进行赔付。</w:t>
      </w:r>
    </w:p>
    <w:p>
      <w:pPr>
        <w:widowControl/>
        <w:spacing w:line="380" w:lineRule="exact"/>
        <w:ind w:firstLine="420" w:firstLineChars="200"/>
        <w:rPr>
          <w:rFonts w:ascii="宋体" w:hAnsi="宋体"/>
          <w:kern w:val="0"/>
          <w:szCs w:val="21"/>
        </w:rPr>
      </w:pPr>
      <w:r>
        <w:rPr>
          <w:rFonts w:hint="eastAsia" w:ascii="宋体" w:hAnsi="宋体"/>
          <w:kern w:val="0"/>
          <w:szCs w:val="21"/>
        </w:rPr>
        <w:t>(b)如商家违反本协议、商家与当当的其它协议或当当任何规则，给当当造成任何损失（包括但不限于诉讼赔偿、诉讼费用、律师费用等）的，当当有完全的权利和权力根据当当自行的判断，无须承担责任地，直接从保证金中扣除相当于当当损失的金额，保证金不足以赔偿的，当当可继续向商家追偿。在损失金额不明确之前，当当有权无限期继续冻结该保证金，直至损失金额明确后予以结算。</w:t>
      </w:r>
    </w:p>
    <w:p>
      <w:pPr>
        <w:widowControl/>
        <w:spacing w:line="380" w:lineRule="exact"/>
        <w:ind w:firstLine="420" w:firstLineChars="200"/>
        <w:rPr>
          <w:rFonts w:ascii="宋体" w:hAnsi="宋体"/>
          <w:kern w:val="0"/>
          <w:szCs w:val="21"/>
        </w:rPr>
      </w:pPr>
      <w:r>
        <w:rPr>
          <w:rFonts w:hint="eastAsia" w:ascii="宋体" w:hAnsi="宋体"/>
          <w:kern w:val="0"/>
          <w:szCs w:val="21"/>
        </w:rPr>
        <w:t>3.5.3当当如使用保证金进行任何赔付，将以书面方式（包括但不限于电子邮件、传真等）通知商家。在向商家出具的书面通知中，将说明赔付原因及赔付金额。</w:t>
      </w:r>
    </w:p>
    <w:p>
      <w:pPr>
        <w:widowControl/>
        <w:spacing w:line="380" w:lineRule="exact"/>
        <w:ind w:firstLine="420" w:firstLineChars="200"/>
        <w:rPr>
          <w:rFonts w:ascii="宋体" w:hAnsi="宋体"/>
          <w:kern w:val="0"/>
          <w:szCs w:val="21"/>
        </w:rPr>
      </w:pPr>
      <w:r>
        <w:rPr>
          <w:rFonts w:hint="eastAsia" w:ascii="宋体" w:hAnsi="宋体"/>
          <w:kern w:val="0"/>
          <w:szCs w:val="21"/>
        </w:rPr>
        <w:t>3.5.4若在商家保证金不足时，当当没有使用自有资金向买家支付赔偿金、补偿金、抚恤金或其它任何款项的义务，但若当当进行了该等支付，当当根据上述 ( b)项的规定要求商家赔偿，包括但不限于：</w:t>
      </w:r>
    </w:p>
    <w:p>
      <w:pPr>
        <w:widowControl/>
        <w:spacing w:line="380" w:lineRule="exact"/>
        <w:ind w:firstLine="420" w:firstLineChars="200"/>
        <w:rPr>
          <w:rFonts w:ascii="宋体" w:hAnsi="宋体"/>
          <w:kern w:val="0"/>
          <w:szCs w:val="21"/>
        </w:rPr>
      </w:pPr>
      <w:r>
        <w:rPr>
          <w:rFonts w:hint="eastAsia" w:ascii="宋体" w:hAnsi="宋体"/>
          <w:kern w:val="0"/>
          <w:szCs w:val="21"/>
        </w:rPr>
        <w:t xml:space="preserve">1)要求商家偿付当当的损失，且在指定时间内补足保证金； </w:t>
      </w:r>
    </w:p>
    <w:p>
      <w:pPr>
        <w:widowControl/>
        <w:spacing w:line="380" w:lineRule="exact"/>
        <w:ind w:firstLine="420" w:firstLineChars="200"/>
        <w:rPr>
          <w:rFonts w:ascii="宋体" w:hAnsi="宋体"/>
          <w:kern w:val="0"/>
          <w:szCs w:val="21"/>
        </w:rPr>
      </w:pPr>
      <w:r>
        <w:rPr>
          <w:rFonts w:hint="eastAsia" w:ascii="宋体" w:hAnsi="宋体"/>
          <w:kern w:val="0"/>
          <w:szCs w:val="21"/>
        </w:rPr>
        <w:t>2)将从商家在当当的销售款中直接划扣给当当，以补偿当当所遭受的损失；如当当的损失通过上述二种方式仍无法弥补，则当当有权单方面终止向商家提供的一切服务，而且继续要求商家承担赔偿责任。</w:t>
      </w:r>
    </w:p>
    <w:p>
      <w:pPr>
        <w:widowControl/>
        <w:spacing w:line="380" w:lineRule="exact"/>
        <w:ind w:firstLine="420" w:firstLineChars="200"/>
        <w:rPr>
          <w:rFonts w:ascii="宋体" w:hAnsi="宋体"/>
          <w:kern w:val="0"/>
          <w:szCs w:val="21"/>
        </w:rPr>
      </w:pPr>
      <w:r>
        <w:rPr>
          <w:rFonts w:hint="eastAsia" w:ascii="宋体" w:hAnsi="宋体"/>
          <w:kern w:val="0"/>
          <w:szCs w:val="21"/>
        </w:rPr>
        <w:t>3.5.5商家对买家、任何第三方以及当当的赔付责任不以保证金的数额为限。当当有权根据本协议的规定将商家的保证金用于保障对买家或其他权利人的和解与赔付。</w:t>
      </w:r>
    </w:p>
    <w:p>
      <w:pPr>
        <w:widowControl/>
        <w:spacing w:line="380" w:lineRule="exact"/>
        <w:ind w:firstLine="420" w:firstLineChars="200"/>
        <w:rPr>
          <w:rFonts w:ascii="宋体" w:hAnsi="宋体"/>
          <w:kern w:val="0"/>
          <w:szCs w:val="21"/>
        </w:rPr>
      </w:pPr>
      <w:r>
        <w:rPr>
          <w:rFonts w:hint="eastAsia" w:ascii="宋体" w:hAnsi="宋体"/>
          <w:kern w:val="0"/>
          <w:szCs w:val="21"/>
        </w:rPr>
        <w:t>3.5.6无论本协议因何原因终止，在协议终止前的行为所导致的任何赔偿和责任，商家必须完全且独立地承担责任。</w:t>
      </w:r>
    </w:p>
    <w:p>
      <w:pPr>
        <w:widowControl/>
        <w:snapToGrid w:val="0"/>
        <w:spacing w:before="120" w:after="120" w:line="380" w:lineRule="exact"/>
        <w:ind w:left="2" w:leftChars="1" w:firstLine="420" w:firstLineChars="200"/>
        <w:jc w:val="left"/>
        <w:rPr>
          <w:color w:val="666666"/>
          <w:kern w:val="0"/>
          <w:szCs w:val="21"/>
        </w:rPr>
      </w:pPr>
      <w:r>
        <w:rPr>
          <w:rFonts w:hint="eastAsia" w:ascii="宋体" w:hAnsi="宋体"/>
          <w:kern w:val="0"/>
          <w:szCs w:val="21"/>
        </w:rPr>
        <w:t>3.6</w:t>
      </w:r>
      <w:r>
        <w:rPr>
          <w:rFonts w:hint="eastAsia" w:ascii="宋体" w:hAnsi="宋体"/>
          <w:bCs/>
          <w:kern w:val="0"/>
          <w:szCs w:val="21"/>
        </w:rPr>
        <w:t>商户了解并同意，当当并非司法机构，仅能以普通或非专业人员的知识水平标准对商户提交的证据材料进行鉴别，当当对交易纠纷的调处完全是基于商户的委托，当当无法保证交易纠纷处理结果符合商户的期望，也不对交易纠纷调处结果及保证金赔付决定承担任何责任。商户应保证其提交的证据材料的真实性、合法性，并承担其或买家提供的信息、数据不实的风险和责任。如商户因此遭受损失，商户同意自行向受益人索赔。</w:t>
      </w:r>
    </w:p>
    <w:p>
      <w:pPr>
        <w:widowControl/>
        <w:spacing w:before="156" w:beforeLines="50" w:after="156" w:afterLines="50" w:line="380" w:lineRule="exact"/>
        <w:jc w:val="left"/>
        <w:outlineLvl w:val="0"/>
        <w:rPr>
          <w:rFonts w:ascii="宋体" w:hAnsi="宋体"/>
          <w:b/>
          <w:kern w:val="0"/>
          <w:szCs w:val="21"/>
        </w:rPr>
      </w:pPr>
      <w:r>
        <w:rPr>
          <w:rFonts w:hint="eastAsia" w:ascii="宋体" w:hAnsi="宋体"/>
          <w:b/>
          <w:kern w:val="0"/>
          <w:szCs w:val="21"/>
        </w:rPr>
        <w:t>4.当当的权利义务</w:t>
      </w:r>
    </w:p>
    <w:p>
      <w:pPr>
        <w:widowControl/>
        <w:spacing w:line="380" w:lineRule="exact"/>
        <w:ind w:firstLine="420" w:firstLineChars="200"/>
        <w:rPr>
          <w:rFonts w:ascii="宋体" w:hAnsi="宋体"/>
          <w:kern w:val="0"/>
          <w:szCs w:val="21"/>
        </w:rPr>
      </w:pPr>
      <w:r>
        <w:rPr>
          <w:rFonts w:hint="eastAsia" w:ascii="宋体" w:hAnsi="宋体"/>
          <w:kern w:val="0"/>
          <w:szCs w:val="21"/>
        </w:rPr>
        <w:t>4.1如买家在当当购买了商家的商品，并按当当有关规则提起索赔，则当当有权根据本协议规定、当当有关规则及买家提供的资料和证据，以其独立判断确定买家索赔是否成立，如索赔成立，当当有权划扣商家保证金向买家进行赔付，而当当对买家、商家没有任何责任。</w:t>
      </w:r>
    </w:p>
    <w:p>
      <w:pPr>
        <w:widowControl/>
        <w:spacing w:line="380" w:lineRule="exact"/>
        <w:ind w:firstLine="420" w:firstLineChars="200"/>
        <w:rPr>
          <w:rFonts w:ascii="宋体" w:hAnsi="宋体"/>
          <w:kern w:val="0"/>
          <w:szCs w:val="21"/>
        </w:rPr>
      </w:pPr>
      <w:r>
        <w:rPr>
          <w:rFonts w:hint="eastAsia" w:ascii="宋体" w:hAnsi="宋体"/>
          <w:kern w:val="0"/>
          <w:szCs w:val="21"/>
        </w:rPr>
        <w:t>4.2当当亦有权根据本协议的其他规定冻结、解冻或处置商家的保证金。</w:t>
      </w:r>
    </w:p>
    <w:p>
      <w:pPr>
        <w:widowControl/>
        <w:spacing w:line="380" w:lineRule="exact"/>
        <w:ind w:firstLine="420" w:firstLineChars="200"/>
        <w:rPr>
          <w:rFonts w:ascii="宋体" w:hAnsi="宋体"/>
          <w:kern w:val="0"/>
          <w:szCs w:val="21"/>
        </w:rPr>
      </w:pPr>
      <w:r>
        <w:rPr>
          <w:rFonts w:hint="eastAsia" w:ascii="宋体" w:hAnsi="宋体"/>
          <w:kern w:val="0"/>
          <w:szCs w:val="21"/>
        </w:rPr>
        <w:t>4.3当当可以但没有义务根据当当有关规则向商家及（或）买家索要有关证据，并可以仅以普通人身份对商家及（或）买家提供的证据资料进行审查，并根据该证据做出独立判断。其中：</w:t>
      </w:r>
    </w:p>
    <w:p>
      <w:pPr>
        <w:widowControl/>
        <w:spacing w:line="380" w:lineRule="exact"/>
        <w:ind w:firstLine="420" w:firstLineChars="200"/>
        <w:rPr>
          <w:rFonts w:ascii="宋体" w:hAnsi="宋体"/>
          <w:kern w:val="0"/>
          <w:szCs w:val="21"/>
        </w:rPr>
      </w:pPr>
      <w:r>
        <w:rPr>
          <w:rFonts w:hint="eastAsia" w:ascii="宋体" w:hAnsi="宋体"/>
          <w:kern w:val="0"/>
          <w:szCs w:val="21"/>
        </w:rPr>
        <w:t>1)买家提供的证据包括但不限于签收商品图片、品牌商专业检测凭证、国家质量监督局开具的质量检测报告、商品存在质量问题的检测凭证等；</w:t>
      </w:r>
    </w:p>
    <w:p>
      <w:pPr>
        <w:widowControl/>
        <w:spacing w:line="380" w:lineRule="exact"/>
        <w:ind w:firstLine="420" w:firstLineChars="200"/>
        <w:rPr>
          <w:rFonts w:ascii="宋体" w:hAnsi="宋体"/>
          <w:kern w:val="0"/>
          <w:szCs w:val="21"/>
        </w:rPr>
      </w:pPr>
      <w:r>
        <w:rPr>
          <w:rFonts w:hint="eastAsia" w:ascii="宋体" w:hAnsi="宋体"/>
          <w:kern w:val="0"/>
          <w:szCs w:val="21"/>
        </w:rPr>
        <w:t>2)商家提供的证据包括但不限于正规的进货发票、品牌经销商授权经销凭证等。</w:t>
      </w:r>
    </w:p>
    <w:p>
      <w:pPr>
        <w:widowControl/>
        <w:snapToGrid w:val="0"/>
        <w:spacing w:line="380" w:lineRule="exact"/>
        <w:ind w:firstLine="420" w:firstLineChars="200"/>
        <w:jc w:val="left"/>
        <w:rPr>
          <w:rFonts w:ascii="宋体" w:hAnsi="宋体"/>
          <w:kern w:val="0"/>
          <w:szCs w:val="21"/>
        </w:rPr>
      </w:pPr>
      <w:r>
        <w:rPr>
          <w:rFonts w:hint="eastAsia" w:ascii="宋体" w:hAnsi="宋体"/>
          <w:kern w:val="0"/>
          <w:szCs w:val="21"/>
        </w:rPr>
        <w:t>4.4当当交易平台仅作为用户选择交易对象，就货物和服务的交易进行协商，以及获取各类与贸易相关的服务的网络地点。本协议的签署并不意味着当当成为商户在当当站上与用户所进行交易的参与者，对前述交易当当仅提供技术服务及其他有偿服务，不对商户行为的合法性、有效性及商品的真实性、合法性和有效性作任何明示或暗示的担保。商户因进行交易、获取有偿服务或接触当当服务器而发生的所有应纳税赋，均由商户自行负责支付。</w:t>
      </w:r>
    </w:p>
    <w:p>
      <w:pPr>
        <w:widowControl/>
        <w:spacing w:before="156" w:beforeLines="50" w:after="156" w:afterLines="50" w:line="380" w:lineRule="exact"/>
        <w:jc w:val="left"/>
        <w:outlineLvl w:val="0"/>
        <w:rPr>
          <w:rFonts w:ascii="宋体" w:hAnsi="宋体"/>
          <w:b/>
          <w:kern w:val="0"/>
          <w:szCs w:val="21"/>
        </w:rPr>
      </w:pPr>
      <w:r>
        <w:rPr>
          <w:rFonts w:hint="eastAsia" w:ascii="宋体" w:hAnsi="宋体"/>
          <w:b/>
          <w:kern w:val="0"/>
          <w:szCs w:val="21"/>
        </w:rPr>
        <w:t>5.免责、责任限制、索赔及诉讼时效</w:t>
      </w:r>
    </w:p>
    <w:p>
      <w:pPr>
        <w:widowControl/>
        <w:spacing w:line="380" w:lineRule="exact"/>
        <w:ind w:firstLine="420" w:firstLineChars="200"/>
        <w:rPr>
          <w:rFonts w:ascii="宋体" w:hAnsi="宋体"/>
          <w:kern w:val="0"/>
          <w:szCs w:val="21"/>
        </w:rPr>
      </w:pPr>
      <w:r>
        <w:rPr>
          <w:rFonts w:hint="eastAsia" w:ascii="宋体" w:hAnsi="宋体"/>
          <w:kern w:val="0"/>
          <w:szCs w:val="21"/>
        </w:rPr>
        <w:t>5.1如因任一方提交的信息、数据不实导致任何责任，当当均不承担。商家和买家应保证其提交的数据的真实性、合法性，并承担己方以及对方提供的信息、数据不实的风险和责任。</w:t>
      </w:r>
    </w:p>
    <w:p>
      <w:pPr>
        <w:widowControl/>
        <w:spacing w:line="380" w:lineRule="exact"/>
        <w:ind w:firstLine="420" w:firstLineChars="200"/>
        <w:rPr>
          <w:rFonts w:ascii="宋体" w:hAnsi="宋体"/>
          <w:kern w:val="0"/>
          <w:szCs w:val="21"/>
        </w:rPr>
      </w:pPr>
      <w:r>
        <w:rPr>
          <w:rFonts w:hint="eastAsia" w:ascii="宋体" w:hAnsi="宋体"/>
          <w:kern w:val="0"/>
          <w:szCs w:val="21"/>
        </w:rPr>
        <w:t>5.2商家同意当当对与本协议相关的以及由于本协议的签订、履行导致的所有的责任，不管是否与违约、侵权相关，也不管由于故意还是过失，也不管商家是否向当当支付或给予过任何费用、款项、利益，在任何情况下，赔偿限额都不应超过3000元人民币，这并不影响当当根据本协议、当当参与的其它协议、当当规则享有的免责、责任限制的权利。</w:t>
      </w:r>
    </w:p>
    <w:p>
      <w:pPr>
        <w:spacing w:line="360" w:lineRule="exact"/>
        <w:ind w:firstLine="420" w:firstLineChars="200"/>
        <w:rPr>
          <w:rFonts w:ascii="宋体" w:hAnsi="宋体"/>
          <w:szCs w:val="21"/>
        </w:rPr>
      </w:pPr>
      <w:r>
        <w:rPr>
          <w:rFonts w:hint="eastAsia" w:ascii="宋体" w:hAnsi="宋体"/>
          <w:szCs w:val="21"/>
        </w:rPr>
        <w:t>（以下空白）</w:t>
      </w:r>
    </w:p>
    <w:p>
      <w:pPr>
        <w:spacing w:line="360" w:lineRule="exact"/>
        <w:ind w:firstLine="420" w:firstLineChars="200"/>
        <w:rPr>
          <w:rFonts w:ascii="宋体" w:hAnsi="宋体"/>
          <w:szCs w:val="21"/>
        </w:rPr>
      </w:pPr>
    </w:p>
    <w:p>
      <w:pPr>
        <w:spacing w:line="360" w:lineRule="exact"/>
        <w:ind w:firstLine="420" w:firstLineChars="200"/>
        <w:rPr>
          <w:rFonts w:ascii="宋体" w:hAnsi="宋体"/>
          <w:szCs w:val="21"/>
        </w:rPr>
      </w:pPr>
    </w:p>
    <w:p>
      <w:pPr>
        <w:spacing w:line="360" w:lineRule="exact"/>
        <w:ind w:left="993" w:hanging="991"/>
        <w:rPr>
          <w:rFonts w:asciiTheme="minorEastAsia" w:hAnsiTheme="minorEastAsia" w:eastAsiaTheme="minorEastAsia"/>
          <w:b/>
        </w:rPr>
      </w:pPr>
    </w:p>
    <w:p>
      <w:pPr>
        <w:spacing w:line="360" w:lineRule="exact"/>
        <w:ind w:left="993" w:hanging="991"/>
        <w:rPr>
          <w:rFonts w:asciiTheme="minorEastAsia" w:hAnsiTheme="minorEastAsia" w:eastAsiaTheme="minorEastAsia"/>
          <w:b/>
        </w:rPr>
      </w:pPr>
    </w:p>
    <w:p>
      <w:pPr>
        <w:spacing w:line="360" w:lineRule="exact"/>
        <w:ind w:left="993" w:hanging="991"/>
        <w:rPr>
          <w:rFonts w:asciiTheme="minorEastAsia" w:hAnsiTheme="minorEastAsia" w:eastAsiaTheme="minorEastAsia"/>
          <w:b/>
        </w:rPr>
      </w:pPr>
    </w:p>
    <w:p>
      <w:pPr>
        <w:spacing w:line="360" w:lineRule="exact"/>
        <w:ind w:left="993" w:hanging="991"/>
        <w:rPr>
          <w:rFonts w:asciiTheme="minorEastAsia" w:hAnsiTheme="minorEastAsia" w:eastAsiaTheme="minorEastAsia"/>
          <w:b/>
        </w:rPr>
      </w:pPr>
    </w:p>
    <w:p>
      <w:pPr>
        <w:spacing w:line="360" w:lineRule="exact"/>
        <w:ind w:left="993" w:hanging="991"/>
        <w:rPr>
          <w:rFonts w:asciiTheme="minorEastAsia" w:hAnsiTheme="minorEastAsia" w:eastAsiaTheme="minorEastAsia"/>
          <w:b/>
        </w:rPr>
      </w:pPr>
    </w:p>
    <w:p>
      <w:pPr>
        <w:spacing w:line="360" w:lineRule="exact"/>
        <w:ind w:left="993" w:hanging="991"/>
        <w:rPr>
          <w:rFonts w:asciiTheme="minorEastAsia" w:hAnsiTheme="minorEastAsia" w:eastAsiaTheme="minorEastAsia"/>
          <w:b/>
        </w:rPr>
      </w:pPr>
    </w:p>
    <w:p>
      <w:pPr>
        <w:spacing w:line="360" w:lineRule="exact"/>
        <w:ind w:left="993" w:hanging="991"/>
        <w:rPr>
          <w:rFonts w:asciiTheme="minorEastAsia" w:hAnsiTheme="minorEastAsia" w:eastAsiaTheme="minorEastAsia"/>
          <w:b/>
        </w:rPr>
      </w:pPr>
      <w:r>
        <w:rPr>
          <w:rFonts w:hint="eastAsia" w:asciiTheme="minorEastAsia" w:hAnsiTheme="minorEastAsia" w:eastAsiaTheme="minorEastAsia"/>
          <w:b/>
        </w:rPr>
        <w:t>附件2</w:t>
      </w:r>
    </w:p>
    <w:p>
      <w:pPr>
        <w:spacing w:line="360" w:lineRule="exact"/>
        <w:jc w:val="center"/>
        <w:rPr>
          <w:rFonts w:ascii="宋体" w:hAnsi="宋体"/>
          <w:b/>
          <w:sz w:val="28"/>
          <w:szCs w:val="28"/>
        </w:rPr>
      </w:pPr>
      <w:r>
        <w:rPr>
          <w:rFonts w:hint="eastAsia" w:ascii="宋体" w:hAnsi="宋体"/>
          <w:b/>
          <w:sz w:val="28"/>
          <w:szCs w:val="28"/>
        </w:rPr>
        <w:t>反商业贿赂协议</w:t>
      </w:r>
    </w:p>
    <w:p>
      <w:pPr>
        <w:spacing w:line="360" w:lineRule="exact"/>
        <w:ind w:firstLine="4037" w:firstLineChars="1915"/>
        <w:rPr>
          <w:rFonts w:ascii="宋体" w:hAnsi="宋体"/>
          <w:b/>
          <w:szCs w:val="21"/>
        </w:rPr>
      </w:pPr>
    </w:p>
    <w:p>
      <w:pPr>
        <w:spacing w:line="360" w:lineRule="exact"/>
        <w:ind w:firstLine="420" w:firstLineChars="200"/>
        <w:rPr>
          <w:rFonts w:ascii="宋体" w:hAnsi="宋体"/>
          <w:szCs w:val="21"/>
        </w:rPr>
      </w:pPr>
      <w:r>
        <w:rPr>
          <w:rFonts w:hint="eastAsia" w:ascii="宋体" w:hAnsi="宋体"/>
          <w:szCs w:val="21"/>
        </w:rPr>
        <w:t xml:space="preserve">为了维护客户与公司的共同利益，促进双方良好发展，经双方友好协商，共同维护双方供销体系，反对商业贿赂行为，达成以下协议： </w:t>
      </w:r>
    </w:p>
    <w:p>
      <w:pPr>
        <w:spacing w:line="360" w:lineRule="exact"/>
        <w:ind w:firstLine="422" w:firstLineChars="200"/>
        <w:rPr>
          <w:rFonts w:ascii="宋体" w:hAnsi="宋体"/>
          <w:szCs w:val="21"/>
        </w:rPr>
      </w:pPr>
      <w:r>
        <w:rPr>
          <w:rFonts w:hint="eastAsia" w:ascii="宋体" w:hAnsi="宋体"/>
          <w:b/>
          <w:szCs w:val="21"/>
        </w:rPr>
        <w:t xml:space="preserve">第一条 </w:t>
      </w:r>
      <w:r>
        <w:rPr>
          <w:rFonts w:hint="eastAsia" w:ascii="宋体" w:hAnsi="宋体"/>
          <w:szCs w:val="21"/>
        </w:rPr>
        <w:t>本协议所指的商业贿赂是指商户为获取与当当的合作及合作的利益，商户或其单位工作人员给予当当员工的一切精神及物质上直接或间接的馈赠，如回扣、娱乐、旅游等。</w:t>
      </w:r>
    </w:p>
    <w:p>
      <w:pPr>
        <w:spacing w:line="360" w:lineRule="exact"/>
        <w:ind w:firstLine="422" w:firstLineChars="200"/>
        <w:rPr>
          <w:rFonts w:ascii="宋体" w:hAnsi="宋体"/>
          <w:szCs w:val="21"/>
        </w:rPr>
      </w:pPr>
      <w:r>
        <w:rPr>
          <w:rFonts w:hint="eastAsia" w:ascii="宋体" w:hAnsi="宋体"/>
          <w:b/>
          <w:szCs w:val="21"/>
        </w:rPr>
        <w:t>第二条</w:t>
      </w:r>
      <w:r>
        <w:rPr>
          <w:rFonts w:hint="eastAsia" w:ascii="宋体" w:hAnsi="宋体"/>
          <w:szCs w:val="21"/>
        </w:rPr>
        <w:t xml:space="preserve"> 商业贿赂限制：本协议双方严格遵守法律法规有关禁止商业贿赂行为规定，坚决拒绝商业贿赂、行贿及其他不正当之商业行为的馈赠。</w:t>
      </w:r>
    </w:p>
    <w:p>
      <w:pPr>
        <w:spacing w:line="360" w:lineRule="exact"/>
        <w:ind w:firstLine="422" w:firstLineChars="200"/>
        <w:rPr>
          <w:rFonts w:ascii="宋体" w:hAnsi="宋体"/>
          <w:szCs w:val="21"/>
        </w:rPr>
      </w:pPr>
      <w:r>
        <w:rPr>
          <w:rFonts w:hint="eastAsia" w:ascii="宋体" w:hAnsi="宋体"/>
          <w:b/>
          <w:szCs w:val="21"/>
        </w:rPr>
        <w:t>第三条</w:t>
      </w:r>
      <w:r>
        <w:rPr>
          <w:rFonts w:ascii="宋体" w:hAnsi="宋体"/>
          <w:szCs w:val="21"/>
        </w:rPr>
        <w:t xml:space="preserve"> 当当任何员工、部门不得以当当或非当当名义向商户索取或收受金钱、物品及任何形式的馈赠。如商户发现当当员工存在上述行为，商户及其员工可以向当当举报，当当根据情况给予举报方1万元至10万元奖励。</w:t>
      </w:r>
    </w:p>
    <w:p>
      <w:pPr>
        <w:spacing w:line="360" w:lineRule="exact"/>
        <w:ind w:firstLine="422" w:firstLineChars="200"/>
        <w:rPr>
          <w:rFonts w:ascii="宋体" w:hAnsi="宋体"/>
          <w:szCs w:val="21"/>
        </w:rPr>
      </w:pPr>
      <w:r>
        <w:rPr>
          <w:rFonts w:hint="eastAsia" w:ascii="宋体" w:hAnsi="宋体"/>
          <w:b/>
          <w:szCs w:val="21"/>
        </w:rPr>
        <w:t xml:space="preserve">第四条 </w:t>
      </w:r>
      <w:r>
        <w:rPr>
          <w:rFonts w:hint="eastAsia" w:ascii="宋体" w:hAnsi="宋体"/>
          <w:szCs w:val="21"/>
        </w:rPr>
        <w:t>商户或商户工作人员应该自律，杜绝向当当员工行贿，一经查实存在行贿行为，当当有权无条件终止双方合作关系，并就商户或商户工作人员的行贿行为对当当产生的任何损失及负面影响保留法律追偿的权利。商户或商户工作人员不得以商户或个人名义向当当任何员工包括采购员私下直接或间接赠送价值高于200元人民币的礼金、物品、有价证券或采取其他变相手段提供不正当利益。否则均视为侵害当当利益的行为。礼金包括但不限于现金、支票、信用卡等。物品及馈赠品包括但不限于礼品、样品或其他商品、娱乐票券、会员卡等，货币或货物形式的回扣、回佣、就业或置业，商户付款的旅游、免费娱乐、宴请及个人服务等。</w:t>
      </w:r>
    </w:p>
    <w:p>
      <w:pPr>
        <w:spacing w:line="360" w:lineRule="exact"/>
        <w:ind w:firstLine="422" w:firstLineChars="200"/>
        <w:rPr>
          <w:rFonts w:ascii="宋体" w:hAnsi="宋体"/>
          <w:b/>
          <w:szCs w:val="21"/>
        </w:rPr>
      </w:pPr>
      <w:r>
        <w:rPr>
          <w:rFonts w:hint="eastAsia" w:ascii="宋体" w:hAnsi="宋体"/>
          <w:b/>
          <w:szCs w:val="21"/>
        </w:rPr>
        <w:t>第五条 协助义务</w:t>
      </w:r>
    </w:p>
    <w:p>
      <w:pPr>
        <w:spacing w:line="360" w:lineRule="exact"/>
        <w:ind w:firstLine="420" w:firstLineChars="200"/>
        <w:rPr>
          <w:rFonts w:ascii="宋体" w:hAnsi="宋体"/>
          <w:szCs w:val="21"/>
        </w:rPr>
      </w:pPr>
      <w:r>
        <w:rPr>
          <w:rFonts w:hint="eastAsia" w:ascii="宋体" w:hAnsi="宋体"/>
          <w:szCs w:val="21"/>
        </w:rPr>
        <w:t>1、若当当员工要求商户给予其任何形式的不正当利益，商户必须及时投诉，并提供相关证据给当当，经当当查实后作出处理，并为商户保密。对于商户的协助，当当将根据情况给予商户更多的商业机会。</w:t>
      </w:r>
    </w:p>
    <w:p>
      <w:pPr>
        <w:spacing w:line="360" w:lineRule="exact"/>
        <w:ind w:firstLine="420" w:firstLineChars="200"/>
        <w:rPr>
          <w:rFonts w:ascii="宋体" w:hAnsi="宋体"/>
          <w:szCs w:val="21"/>
        </w:rPr>
      </w:pPr>
      <w:r>
        <w:rPr>
          <w:rFonts w:hint="eastAsia" w:ascii="宋体" w:hAnsi="宋体"/>
          <w:szCs w:val="21"/>
        </w:rPr>
        <w:t>2、商户或商户工作人员应拒绝当当公司员工以个人名义提出的任何要求。当当当任何人员以私人的名义向商户或商户工作人员索取任何形式的馈赠或向商户或商户工作人员提出不正当的要求或当商户或商户工作人员有理由怀疑当当人员违反商业诚信的情况下,商户应在第一时间联系当当防损部,当当将对该举报高度保密并会展开调查,确保商户的利益。举报时请注意：</w:t>
      </w:r>
    </w:p>
    <w:p>
      <w:pPr>
        <w:spacing w:line="360" w:lineRule="exact"/>
        <w:ind w:firstLine="420" w:firstLineChars="200"/>
        <w:rPr>
          <w:rFonts w:ascii="宋体" w:hAnsi="宋体"/>
          <w:szCs w:val="21"/>
        </w:rPr>
      </w:pPr>
      <w:r>
        <w:rPr>
          <w:rFonts w:hint="eastAsia" w:ascii="宋体" w:hAnsi="宋体"/>
          <w:szCs w:val="21"/>
        </w:rPr>
        <w:t>1）举报信息应真实，并提供详细信息（例如事件时间、地点、涉及人员以及事件经过），便于核查。</w:t>
      </w:r>
    </w:p>
    <w:p>
      <w:pPr>
        <w:spacing w:line="360" w:lineRule="exact"/>
        <w:ind w:firstLine="420" w:firstLineChars="200"/>
        <w:rPr>
          <w:rFonts w:ascii="宋体" w:hAnsi="宋体"/>
          <w:szCs w:val="21"/>
        </w:rPr>
      </w:pPr>
      <w:r>
        <w:rPr>
          <w:rFonts w:hint="eastAsia" w:ascii="宋体" w:hAnsi="宋体"/>
          <w:szCs w:val="21"/>
        </w:rPr>
        <w:t>2）请注意保留相关证据，包括但不仅限于：邮件、信息、聊天记录、电话录音、即时通信截屏等。</w:t>
      </w:r>
    </w:p>
    <w:p>
      <w:pPr>
        <w:spacing w:line="360" w:lineRule="exact"/>
        <w:ind w:firstLine="420" w:firstLineChars="200"/>
        <w:rPr>
          <w:rFonts w:ascii="宋体" w:hAnsi="宋体"/>
          <w:szCs w:val="21"/>
        </w:rPr>
      </w:pPr>
      <w:r>
        <w:rPr>
          <w:rFonts w:hint="eastAsia" w:ascii="宋体" w:hAnsi="宋体"/>
          <w:szCs w:val="21"/>
        </w:rPr>
        <w:t>当当总部防损部投诉专线： 投诉电话:010-57992591      邮箱：</w:t>
      </w:r>
      <w:r>
        <w:fldChar w:fldCharType="begin"/>
      </w:r>
      <w:r>
        <w:instrText xml:space="preserve"> HYPERLINK "mailto:neibujubao@dangdang.com" </w:instrText>
      </w:r>
      <w:r>
        <w:fldChar w:fldCharType="separate"/>
      </w:r>
      <w:r>
        <w:rPr>
          <w:rStyle w:val="17"/>
        </w:rPr>
        <w:t>neibujubao@dangdang.com</w:t>
      </w:r>
      <w:r>
        <w:rPr>
          <w:rStyle w:val="17"/>
        </w:rPr>
        <w:fldChar w:fldCharType="end"/>
      </w:r>
    </w:p>
    <w:p>
      <w:pPr>
        <w:spacing w:line="360" w:lineRule="exact"/>
        <w:ind w:firstLine="422" w:firstLineChars="200"/>
        <w:rPr>
          <w:rFonts w:ascii="宋体" w:hAnsi="宋体"/>
          <w:b/>
          <w:szCs w:val="21"/>
        </w:rPr>
      </w:pPr>
      <w:r>
        <w:rPr>
          <w:rFonts w:hint="eastAsia" w:ascii="宋体" w:hAnsi="宋体"/>
          <w:b/>
          <w:szCs w:val="21"/>
        </w:rPr>
        <w:t>第六条 违约责任</w:t>
      </w:r>
    </w:p>
    <w:p>
      <w:pPr>
        <w:spacing w:line="360" w:lineRule="exact"/>
        <w:ind w:firstLine="420" w:firstLineChars="200"/>
        <w:rPr>
          <w:rFonts w:ascii="宋体" w:hAnsi="宋体"/>
          <w:szCs w:val="21"/>
        </w:rPr>
      </w:pPr>
      <w:r>
        <w:rPr>
          <w:rFonts w:hint="eastAsia" w:ascii="宋体" w:hAnsi="宋体"/>
          <w:szCs w:val="21"/>
        </w:rPr>
        <w:t>若商户违反本规定，贿赂当当任何员工，以图获取任何不正当商业利益或更特殊的商业待遇或不配合当当查处其员工的受贿行为的，当当停止与商户的一切合作，并依法对商户采取诸如冻结所有应付账款的措施，同时商户应向当当支付10万元作为违约金。</w:t>
      </w:r>
    </w:p>
    <w:p>
      <w:pPr>
        <w:spacing w:line="360" w:lineRule="exact"/>
        <w:ind w:firstLine="422" w:firstLineChars="200"/>
        <w:rPr>
          <w:rFonts w:ascii="宋体" w:hAnsi="宋体"/>
          <w:b/>
          <w:szCs w:val="21"/>
        </w:rPr>
      </w:pPr>
      <w:r>
        <w:rPr>
          <w:rFonts w:hint="eastAsia" w:ascii="宋体" w:hAnsi="宋体"/>
          <w:b/>
          <w:szCs w:val="21"/>
        </w:rPr>
        <w:t>第七条 其 他</w:t>
      </w:r>
    </w:p>
    <w:p>
      <w:pPr>
        <w:spacing w:line="360" w:lineRule="exact"/>
        <w:ind w:firstLine="420" w:firstLineChars="200"/>
        <w:rPr>
          <w:rFonts w:ascii="宋体" w:hAnsi="宋体"/>
          <w:szCs w:val="21"/>
        </w:rPr>
      </w:pPr>
      <w:r>
        <w:rPr>
          <w:rFonts w:hint="eastAsia" w:ascii="宋体" w:hAnsi="宋体"/>
          <w:szCs w:val="21"/>
        </w:rPr>
        <w:t>本协议壹式叁份，当当执两份，商户执一份，自双方签字盖章后生效。如本附件与主协议有不同之处，以本附件为准。</w:t>
      </w:r>
    </w:p>
    <w:p>
      <w:pPr>
        <w:spacing w:line="360" w:lineRule="exact"/>
        <w:ind w:firstLine="420" w:firstLineChars="200"/>
        <w:rPr>
          <w:rFonts w:ascii="宋体" w:hAnsi="宋体"/>
          <w:szCs w:val="21"/>
        </w:rPr>
      </w:pPr>
      <w:r>
        <w:rPr>
          <w:rFonts w:hint="eastAsia" w:ascii="宋体" w:hAnsi="宋体"/>
          <w:szCs w:val="21"/>
        </w:rPr>
        <w:t>（以下空白）</w:t>
      </w:r>
    </w:p>
    <w:p>
      <w:pPr>
        <w:spacing w:line="360" w:lineRule="exact"/>
        <w:ind w:firstLine="420" w:firstLineChars="200"/>
        <w:rPr>
          <w:rFonts w:ascii="宋体" w:hAnsi="宋体"/>
          <w:szCs w:val="21"/>
        </w:rPr>
      </w:pPr>
    </w:p>
    <w:p>
      <w:pPr>
        <w:spacing w:line="360" w:lineRule="exact"/>
        <w:ind w:firstLine="420" w:firstLineChars="200"/>
        <w:rPr>
          <w:rFonts w:ascii="宋体" w:hAnsi="宋体"/>
          <w:szCs w:val="21"/>
        </w:rPr>
      </w:pPr>
    </w:p>
    <w:p>
      <w:pPr>
        <w:spacing w:line="360" w:lineRule="exact"/>
        <w:rPr>
          <w:rFonts w:ascii="宋体" w:hAnsi="宋体"/>
          <w:b/>
          <w:szCs w:val="21"/>
        </w:rPr>
      </w:pPr>
      <w:r>
        <w:rPr>
          <w:rFonts w:hint="eastAsia" w:ascii="宋体" w:hAnsi="宋体"/>
          <w:b/>
          <w:szCs w:val="21"/>
        </w:rPr>
        <w:t>附件3</w:t>
      </w:r>
    </w:p>
    <w:p>
      <w:pPr>
        <w:spacing w:line="360" w:lineRule="exact"/>
        <w:ind w:firstLine="3654" w:firstLineChars="1300"/>
        <w:rPr>
          <w:rFonts w:ascii="宋体" w:hAnsi="宋体"/>
          <w:b/>
          <w:kern w:val="0"/>
          <w:sz w:val="28"/>
          <w:szCs w:val="28"/>
        </w:rPr>
      </w:pPr>
      <w:r>
        <w:rPr>
          <w:rFonts w:hint="eastAsia" w:ascii="宋体" w:hAnsi="宋体"/>
          <w:b/>
          <w:kern w:val="0"/>
          <w:sz w:val="28"/>
          <w:szCs w:val="28"/>
        </w:rPr>
        <w:t>个人信息保护条款</w:t>
      </w:r>
    </w:p>
    <w:p>
      <w:pPr>
        <w:spacing w:line="360" w:lineRule="auto"/>
        <w:ind w:firstLine="420" w:firstLineChars="200"/>
        <w:rPr>
          <w:rFonts w:ascii="宋体" w:hAnsi="宋体"/>
          <w:kern w:val="0"/>
          <w:szCs w:val="21"/>
        </w:rPr>
      </w:pPr>
    </w:p>
    <w:p>
      <w:pPr>
        <w:spacing w:line="360" w:lineRule="auto"/>
        <w:ind w:firstLine="420" w:firstLineChars="200"/>
        <w:rPr>
          <w:rFonts w:ascii="宋体" w:hAnsi="宋体"/>
          <w:kern w:val="0"/>
          <w:szCs w:val="21"/>
        </w:rPr>
      </w:pPr>
      <w:r>
        <w:rPr>
          <w:rFonts w:hint="eastAsia" w:ascii="宋体" w:hAnsi="宋体"/>
          <w:kern w:val="0"/>
          <w:szCs w:val="21"/>
        </w:rPr>
        <w:t>当当非常重视用户个人信息的保护，不会向任何第三方披露、转让、出租或者出售交易用户名单、交易记录等涉及用户个人信息的数据以及您保存在当当各项服务中的非公开内容，除非您明确授权当当，或当当根据法律</w:t>
      </w:r>
      <w:r>
        <w:rPr>
          <w:rFonts w:ascii="宋体" w:hAnsi="宋体"/>
          <w:kern w:val="0"/>
          <w:szCs w:val="21"/>
        </w:rPr>
        <w:t>法规的要求使用这些信息</w:t>
      </w:r>
      <w:r>
        <w:rPr>
          <w:rFonts w:hint="eastAsia" w:ascii="宋体" w:hAnsi="宋体"/>
          <w:kern w:val="0"/>
          <w:szCs w:val="21"/>
        </w:rPr>
        <w:t>。您了解并同意，当当有权根据相应法律法规的要求，或应政府部门（包括司法及行政部门）的要求，向其提供您在当当填写的注册信息和交易纪录等必要信息。如您涉嫌侵犯他人知识产权，则当当亦有权在初步判断涉嫌侵权行为存在的情况下，向权利人提供您必要的身份信息。商户</w:t>
      </w:r>
      <w:r>
        <w:rPr>
          <w:rFonts w:ascii="宋体" w:hAnsi="宋体"/>
          <w:kern w:val="0"/>
          <w:szCs w:val="21"/>
        </w:rPr>
        <w:t>在当当平台向用户提供服务</w:t>
      </w:r>
      <w:r>
        <w:rPr>
          <w:rFonts w:hint="eastAsia" w:ascii="宋体" w:hAnsi="宋体"/>
          <w:kern w:val="0"/>
          <w:szCs w:val="21"/>
        </w:rPr>
        <w:t>的过程</w:t>
      </w:r>
      <w:r>
        <w:rPr>
          <w:rFonts w:ascii="宋体" w:hAnsi="宋体"/>
          <w:kern w:val="0"/>
          <w:szCs w:val="21"/>
        </w:rPr>
        <w:t>中</w:t>
      </w:r>
      <w:r>
        <w:rPr>
          <w:rFonts w:hint="eastAsia" w:ascii="宋体" w:hAnsi="宋体"/>
          <w:kern w:val="0"/>
          <w:szCs w:val="21"/>
        </w:rPr>
        <w:t>如</w:t>
      </w:r>
      <w:r>
        <w:rPr>
          <w:rFonts w:ascii="宋体" w:hAnsi="宋体"/>
          <w:kern w:val="0"/>
          <w:szCs w:val="21"/>
        </w:rPr>
        <w:t>涉及到收集用户个人信息的，</w:t>
      </w:r>
      <w:r>
        <w:rPr>
          <w:rFonts w:hint="eastAsia" w:ascii="宋体" w:hAnsi="宋体"/>
          <w:kern w:val="0"/>
          <w:szCs w:val="21"/>
        </w:rPr>
        <w:t>应按照</w:t>
      </w:r>
      <w:r>
        <w:rPr>
          <w:rFonts w:ascii="宋体" w:hAnsi="宋体"/>
          <w:kern w:val="0"/>
          <w:szCs w:val="21"/>
        </w:rPr>
        <w:t>国家有关法律法规的规定</w:t>
      </w:r>
      <w:r>
        <w:rPr>
          <w:rFonts w:hint="eastAsia" w:ascii="宋体" w:hAnsi="宋体"/>
          <w:kern w:val="0"/>
          <w:szCs w:val="21"/>
        </w:rPr>
        <w:t>收集</w:t>
      </w:r>
      <w:r>
        <w:rPr>
          <w:rFonts w:ascii="宋体" w:hAnsi="宋体"/>
          <w:kern w:val="0"/>
          <w:szCs w:val="21"/>
        </w:rPr>
        <w:t>用户个人信息</w:t>
      </w:r>
      <w:r>
        <w:rPr>
          <w:rFonts w:hint="eastAsia" w:ascii="宋体" w:hAnsi="宋体"/>
          <w:kern w:val="0"/>
          <w:szCs w:val="21"/>
        </w:rPr>
        <w:t>，不得</w:t>
      </w:r>
      <w:r>
        <w:rPr>
          <w:rFonts w:ascii="宋体" w:hAnsi="宋体"/>
          <w:kern w:val="0"/>
          <w:szCs w:val="21"/>
        </w:rPr>
        <w:t>侵犯用户个人隐私，</w:t>
      </w:r>
      <w:r>
        <w:rPr>
          <w:rFonts w:hint="eastAsia" w:ascii="宋体" w:hAnsi="宋体"/>
          <w:kern w:val="0"/>
          <w:szCs w:val="21"/>
        </w:rPr>
        <w:t>不得</w:t>
      </w:r>
      <w:r>
        <w:rPr>
          <w:rFonts w:ascii="宋体" w:hAnsi="宋体"/>
          <w:kern w:val="0"/>
          <w:szCs w:val="21"/>
        </w:rPr>
        <w:t>收集与完成服务无关的用户信息，未经用户同意不得向任何第三方</w:t>
      </w:r>
      <w:r>
        <w:rPr>
          <w:rFonts w:hint="eastAsia" w:ascii="宋体" w:hAnsi="宋体"/>
          <w:kern w:val="0"/>
          <w:szCs w:val="21"/>
        </w:rPr>
        <w:t>共享</w:t>
      </w:r>
      <w:r>
        <w:rPr>
          <w:rFonts w:ascii="宋体" w:hAnsi="宋体"/>
          <w:kern w:val="0"/>
          <w:szCs w:val="21"/>
        </w:rPr>
        <w:t>、披露、转让用户个人信息，如有违规，</w:t>
      </w:r>
      <w:r>
        <w:rPr>
          <w:rFonts w:hint="eastAsia" w:ascii="宋体" w:hAnsi="宋体"/>
          <w:kern w:val="0"/>
          <w:szCs w:val="21"/>
        </w:rPr>
        <w:t>由此</w:t>
      </w:r>
      <w:r>
        <w:rPr>
          <w:rFonts w:ascii="宋体" w:hAnsi="宋体"/>
          <w:kern w:val="0"/>
          <w:szCs w:val="21"/>
        </w:rPr>
        <w:t>产生的所有责任均由商户承担</w:t>
      </w:r>
      <w:r>
        <w:rPr>
          <w:rFonts w:hint="eastAsia" w:ascii="宋体" w:hAnsi="宋体"/>
          <w:kern w:val="0"/>
          <w:szCs w:val="21"/>
        </w:rPr>
        <w:t>。</w:t>
      </w:r>
      <w:r>
        <w:rPr>
          <w:rFonts w:ascii="宋体" w:hAnsi="宋体"/>
          <w:kern w:val="0"/>
          <w:szCs w:val="21"/>
        </w:rPr>
        <w:t>当当因此受到</w:t>
      </w:r>
      <w:r>
        <w:rPr>
          <w:rFonts w:hint="eastAsia" w:ascii="宋体" w:hAnsi="宋体"/>
          <w:kern w:val="0"/>
          <w:szCs w:val="21"/>
        </w:rPr>
        <w:t>国家</w:t>
      </w:r>
      <w:r>
        <w:rPr>
          <w:rFonts w:ascii="宋体" w:hAnsi="宋体"/>
          <w:kern w:val="0"/>
          <w:szCs w:val="21"/>
        </w:rPr>
        <w:t>机关、行政</w:t>
      </w:r>
      <w:r>
        <w:rPr>
          <w:rFonts w:hint="eastAsia" w:ascii="宋体" w:hAnsi="宋体"/>
          <w:kern w:val="0"/>
          <w:szCs w:val="21"/>
        </w:rPr>
        <w:t>主管</w:t>
      </w:r>
      <w:r>
        <w:rPr>
          <w:rFonts w:ascii="宋体" w:hAnsi="宋体"/>
          <w:kern w:val="0"/>
          <w:szCs w:val="21"/>
        </w:rPr>
        <w:t>部门处罚</w:t>
      </w:r>
      <w:r>
        <w:rPr>
          <w:rFonts w:hint="eastAsia" w:ascii="宋体" w:hAnsi="宋体"/>
          <w:kern w:val="0"/>
          <w:szCs w:val="21"/>
        </w:rPr>
        <w:t>，</w:t>
      </w:r>
      <w:r>
        <w:rPr>
          <w:rFonts w:ascii="宋体" w:hAnsi="宋体"/>
          <w:kern w:val="0"/>
          <w:szCs w:val="21"/>
        </w:rPr>
        <w:t>用户投诉索赔的，</w:t>
      </w:r>
      <w:r>
        <w:rPr>
          <w:rFonts w:hint="eastAsia" w:ascii="宋体" w:hAnsi="宋体"/>
          <w:kern w:val="0"/>
          <w:szCs w:val="21"/>
        </w:rPr>
        <w:t>当当</w:t>
      </w:r>
      <w:r>
        <w:rPr>
          <w:rFonts w:ascii="宋体" w:hAnsi="宋体"/>
          <w:kern w:val="0"/>
          <w:szCs w:val="21"/>
        </w:rPr>
        <w:t>有权单方终止本协议并要求商户承担违约责任</w:t>
      </w:r>
      <w:r>
        <w:rPr>
          <w:rFonts w:hint="eastAsia" w:ascii="宋体" w:hAnsi="宋体"/>
          <w:kern w:val="0"/>
          <w:szCs w:val="21"/>
        </w:rPr>
        <w:t>并</w:t>
      </w:r>
      <w:r>
        <w:rPr>
          <w:rFonts w:ascii="宋体" w:hAnsi="宋体"/>
          <w:kern w:val="0"/>
          <w:szCs w:val="21"/>
        </w:rPr>
        <w:t>赔偿由此对</w:t>
      </w:r>
      <w:r>
        <w:rPr>
          <w:rFonts w:hint="eastAsia" w:ascii="宋体" w:hAnsi="宋体"/>
          <w:kern w:val="0"/>
          <w:szCs w:val="21"/>
        </w:rPr>
        <w:t>当当</w:t>
      </w:r>
      <w:r>
        <w:rPr>
          <w:rFonts w:ascii="宋体" w:hAnsi="宋体"/>
          <w:kern w:val="0"/>
          <w:szCs w:val="21"/>
        </w:rPr>
        <w:t>造成的所有损失（</w:t>
      </w:r>
      <w:r>
        <w:rPr>
          <w:rFonts w:hint="eastAsia" w:ascii="宋体" w:hAnsi="宋体"/>
          <w:kern w:val="0"/>
          <w:szCs w:val="21"/>
        </w:rPr>
        <w:t>包括</w:t>
      </w:r>
      <w:r>
        <w:rPr>
          <w:rFonts w:ascii="宋体" w:hAnsi="宋体"/>
          <w:kern w:val="0"/>
          <w:szCs w:val="21"/>
        </w:rPr>
        <w:t>但不限于</w:t>
      </w:r>
      <w:r>
        <w:rPr>
          <w:rFonts w:hint="eastAsia" w:ascii="宋体" w:hAnsi="宋体"/>
          <w:kern w:val="0"/>
          <w:szCs w:val="21"/>
        </w:rPr>
        <w:t>罚金</w:t>
      </w:r>
      <w:r>
        <w:rPr>
          <w:rFonts w:ascii="宋体" w:hAnsi="宋体"/>
          <w:kern w:val="0"/>
          <w:szCs w:val="21"/>
        </w:rPr>
        <w:t>、赔偿金、和解</w:t>
      </w:r>
      <w:r>
        <w:rPr>
          <w:rFonts w:hint="eastAsia" w:ascii="宋体" w:hAnsi="宋体"/>
          <w:kern w:val="0"/>
          <w:szCs w:val="21"/>
        </w:rPr>
        <w:t>金</w:t>
      </w:r>
      <w:r>
        <w:rPr>
          <w:rFonts w:ascii="宋体" w:hAnsi="宋体"/>
          <w:kern w:val="0"/>
          <w:szCs w:val="21"/>
        </w:rPr>
        <w:t>、律师费、诉讼费等）。</w:t>
      </w:r>
    </w:p>
    <w:p>
      <w:pPr>
        <w:spacing w:line="360" w:lineRule="auto"/>
        <w:ind w:firstLine="315" w:firstLineChars="150"/>
        <w:rPr>
          <w:rFonts w:ascii="宋体" w:hAnsi="宋体"/>
          <w:kern w:val="0"/>
          <w:szCs w:val="21"/>
        </w:rPr>
      </w:pPr>
    </w:p>
    <w:p>
      <w:pPr>
        <w:spacing w:line="360" w:lineRule="auto"/>
        <w:ind w:firstLine="315" w:firstLineChars="150"/>
        <w:rPr>
          <w:rFonts w:ascii="宋体" w:hAnsi="宋体"/>
          <w:kern w:val="0"/>
          <w:szCs w:val="21"/>
        </w:rPr>
      </w:pPr>
    </w:p>
    <w:p>
      <w:pPr>
        <w:spacing w:line="360" w:lineRule="auto"/>
        <w:ind w:firstLine="315" w:firstLineChars="150"/>
        <w:rPr>
          <w:rFonts w:ascii="宋体" w:hAnsi="宋体"/>
          <w:kern w:val="0"/>
          <w:szCs w:val="21"/>
        </w:rPr>
      </w:pPr>
      <w:r>
        <w:rPr>
          <w:rFonts w:ascii="宋体" w:hAnsi="宋体"/>
          <w:kern w:val="0"/>
          <w:szCs w:val="21"/>
        </w:rPr>
        <w:br w:type="page"/>
      </w:r>
    </w:p>
    <w:p>
      <w:pPr>
        <w:spacing w:line="280" w:lineRule="exact"/>
        <w:jc w:val="left"/>
        <w:rPr>
          <w:rFonts w:asciiTheme="minorEastAsia" w:hAnsiTheme="minorEastAsia" w:eastAsiaTheme="minorEastAsia"/>
          <w:b/>
          <w:szCs w:val="21"/>
        </w:rPr>
      </w:pPr>
      <w:r>
        <w:rPr>
          <w:rFonts w:hint="eastAsia" w:asciiTheme="minorEastAsia" w:hAnsiTheme="minorEastAsia" w:eastAsiaTheme="minorEastAsia"/>
          <w:b/>
          <w:szCs w:val="21"/>
        </w:rPr>
        <w:t>附件4</w:t>
      </w:r>
    </w:p>
    <w:p>
      <w:pPr>
        <w:spacing w:line="280" w:lineRule="exact"/>
        <w:jc w:val="center"/>
        <w:rPr>
          <w:rFonts w:ascii="宋体" w:hAnsi="宋体"/>
          <w:b/>
          <w:sz w:val="30"/>
          <w:szCs w:val="30"/>
        </w:rPr>
      </w:pPr>
    </w:p>
    <w:p>
      <w:pPr>
        <w:spacing w:line="280" w:lineRule="exact"/>
        <w:jc w:val="center"/>
        <w:rPr>
          <w:rFonts w:ascii="宋体" w:hAnsi="宋体"/>
          <w:b/>
          <w:sz w:val="28"/>
          <w:szCs w:val="28"/>
        </w:rPr>
      </w:pPr>
      <w:r>
        <w:rPr>
          <w:rFonts w:hint="eastAsia" w:ascii="宋体" w:hAnsi="宋体"/>
          <w:b/>
          <w:sz w:val="28"/>
          <w:szCs w:val="28"/>
        </w:rPr>
        <w:t>当当竞价技术服务购买协议</w:t>
      </w:r>
    </w:p>
    <w:p>
      <w:pPr>
        <w:spacing w:line="280" w:lineRule="exact"/>
        <w:rPr>
          <w:rFonts w:ascii="宋体" w:hAnsi="宋体"/>
          <w:b/>
          <w:sz w:val="28"/>
          <w:szCs w:val="28"/>
        </w:rPr>
      </w:pPr>
    </w:p>
    <w:p>
      <w:pPr>
        <w:spacing w:line="360" w:lineRule="exact"/>
        <w:rPr>
          <w:rFonts w:ascii="宋体" w:hAnsi="宋体"/>
          <w:szCs w:val="21"/>
        </w:rPr>
      </w:pPr>
      <w:r>
        <w:rPr>
          <w:rFonts w:hint="eastAsia" w:ascii="宋体" w:hAnsi="宋体"/>
          <w:szCs w:val="21"/>
        </w:rPr>
        <w:t>当当：北京当当科文电子商务有限公司（以下称“当当”、“当当网”“当当科文”）</w:t>
      </w:r>
    </w:p>
    <w:p>
      <w:pPr>
        <w:spacing w:line="360" w:lineRule="exact"/>
        <w:rPr>
          <w:rFonts w:ascii="宋体" w:hAnsi="宋体"/>
          <w:szCs w:val="21"/>
        </w:rPr>
      </w:pPr>
      <w:r>
        <w:rPr>
          <w:rFonts w:ascii="宋体" w:hAnsi="宋体"/>
          <w:szCs w:val="21"/>
        </w:rPr>
        <w:t>地址：</w:t>
      </w:r>
      <w:r>
        <w:rPr>
          <w:rFonts w:hint="eastAsia" w:ascii="宋体" w:hAnsi="宋体"/>
          <w:szCs w:val="21"/>
        </w:rPr>
        <w:t>北京市</w:t>
      </w:r>
      <w:r>
        <w:fldChar w:fldCharType="begin"/>
      </w:r>
      <w:r>
        <w:instrText xml:space="preserve"> HYPERLINK "http://www.dianping.com/search/category/2/30/r14" </w:instrText>
      </w:r>
      <w:r>
        <w:fldChar w:fldCharType="separate"/>
      </w:r>
      <w:r>
        <w:rPr>
          <w:rFonts w:hint="eastAsia" w:ascii="宋体" w:hAnsi="宋体"/>
          <w:szCs w:val="21"/>
        </w:rPr>
        <w:t>朝阳区</w:t>
      </w:r>
      <w:r>
        <w:rPr>
          <w:rFonts w:hint="eastAsia" w:ascii="宋体" w:hAnsi="宋体"/>
          <w:szCs w:val="21"/>
        </w:rPr>
        <w:fldChar w:fldCharType="end"/>
      </w:r>
      <w:r>
        <w:rPr>
          <w:rFonts w:hint="eastAsia" w:ascii="宋体" w:hAnsi="宋体"/>
          <w:szCs w:val="21"/>
        </w:rPr>
        <w:t>北三环东路8号静安中心21层</w:t>
      </w:r>
    </w:p>
    <w:p>
      <w:pPr>
        <w:spacing w:line="360" w:lineRule="exact"/>
        <w:rPr>
          <w:rFonts w:ascii="宋体" w:hAnsi="宋体"/>
          <w:szCs w:val="21"/>
        </w:rPr>
      </w:pPr>
      <w:r>
        <w:rPr>
          <w:rFonts w:hint="eastAsia" w:ascii="宋体" w:hAnsi="宋体"/>
          <w:szCs w:val="21"/>
        </w:rPr>
        <w:t xml:space="preserve">电话：                  </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 xml:space="preserve">  传真：</w:t>
      </w:r>
    </w:p>
    <w:p>
      <w:pPr>
        <w:spacing w:line="360" w:lineRule="exact"/>
        <w:rPr>
          <w:rFonts w:ascii="宋体" w:hAnsi="宋体"/>
          <w:szCs w:val="21"/>
        </w:rPr>
      </w:pPr>
      <w:r>
        <w:rPr>
          <w:rFonts w:hint="eastAsia" w:ascii="宋体" w:hAnsi="宋体"/>
          <w:szCs w:val="21"/>
        </w:rPr>
        <w:t xml:space="preserve">联系人：                 </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 xml:space="preserve">  电子邮件：</w:t>
      </w:r>
      <w:r>
        <w:rPr>
          <w:rFonts w:ascii="宋体" w:hAnsi="宋体"/>
          <w:szCs w:val="21"/>
        </w:rPr>
        <w:t xml:space="preserve"> </w:t>
      </w:r>
    </w:p>
    <w:p>
      <w:pPr>
        <w:spacing w:line="360" w:lineRule="exact"/>
        <w:rPr>
          <w:rFonts w:ascii="宋体" w:hAnsi="宋体"/>
          <w:szCs w:val="21"/>
        </w:rPr>
      </w:pPr>
    </w:p>
    <w:p>
      <w:pPr>
        <w:spacing w:line="360" w:lineRule="exact"/>
        <w:rPr>
          <w:rFonts w:ascii="宋体" w:hAnsi="宋体"/>
          <w:szCs w:val="21"/>
          <w:highlight w:val="yellow"/>
        </w:rPr>
      </w:pPr>
      <w:r>
        <w:rPr>
          <w:rFonts w:hint="eastAsia" w:ascii="宋体" w:hAnsi="宋体"/>
          <w:szCs w:val="21"/>
          <w:highlight w:val="yellow"/>
        </w:rPr>
        <w:t>商户：</w:t>
      </w:r>
      <w:r>
        <w:rPr>
          <w:rFonts w:hint="eastAsia" w:ascii="宋体" w:hAnsi="宋体"/>
          <w:szCs w:val="21"/>
          <w:highlight w:val="yellow"/>
          <w:lang w:val="en-US" w:eastAsia="zh-CN"/>
        </w:rPr>
        <w:t>杭州贝咖实业有限公司</w:t>
      </w:r>
      <w:r>
        <w:rPr>
          <w:rFonts w:hint="eastAsia" w:ascii="宋体" w:hAnsi="宋体"/>
          <w:szCs w:val="21"/>
          <w:highlight w:val="yellow"/>
        </w:rPr>
        <w:t xml:space="preserve">                               （以下称“用户”）</w:t>
      </w:r>
    </w:p>
    <w:p>
      <w:pPr>
        <w:spacing w:line="360" w:lineRule="exact"/>
        <w:rPr>
          <w:rFonts w:ascii="宋体" w:hAnsi="宋体"/>
          <w:szCs w:val="21"/>
          <w:highlight w:val="yellow"/>
        </w:rPr>
      </w:pPr>
      <w:r>
        <w:rPr>
          <w:rFonts w:hint="eastAsia" w:ascii="宋体" w:hAnsi="宋体"/>
          <w:szCs w:val="21"/>
          <w:highlight w:val="yellow"/>
        </w:rPr>
        <w:t xml:space="preserve">地址：浙江省杭州市滨江区长河街道江虹路611号1号楼202室 </w:t>
      </w:r>
    </w:p>
    <w:p>
      <w:pPr>
        <w:spacing w:line="360" w:lineRule="exact"/>
        <w:rPr>
          <w:rFonts w:ascii="宋体" w:hAnsi="宋体"/>
          <w:szCs w:val="21"/>
          <w:highlight w:val="yellow"/>
        </w:rPr>
      </w:pPr>
      <w:r>
        <w:rPr>
          <w:rFonts w:hint="eastAsia" w:ascii="宋体" w:hAnsi="宋体"/>
          <w:szCs w:val="21"/>
          <w:highlight w:val="yellow"/>
        </w:rPr>
        <w:t xml:space="preserve">电话：0571-86656575             </w:t>
      </w:r>
      <w:r>
        <w:rPr>
          <w:rFonts w:hint="eastAsia" w:ascii="宋体" w:hAnsi="宋体"/>
          <w:szCs w:val="21"/>
          <w:highlight w:val="yellow"/>
          <w:lang w:val="en-US" w:eastAsia="zh-CN"/>
        </w:rPr>
        <w:t xml:space="preserve">         </w:t>
      </w:r>
      <w:r>
        <w:rPr>
          <w:rFonts w:hint="eastAsia" w:ascii="宋体" w:hAnsi="宋体"/>
          <w:szCs w:val="21"/>
          <w:highlight w:val="yellow"/>
        </w:rPr>
        <w:t>传真：</w:t>
      </w:r>
    </w:p>
    <w:p>
      <w:pPr>
        <w:spacing w:line="360" w:lineRule="exact"/>
        <w:rPr>
          <w:rFonts w:ascii="宋体" w:hAnsi="宋体"/>
          <w:szCs w:val="21"/>
        </w:rPr>
      </w:pPr>
      <w:r>
        <w:rPr>
          <w:rFonts w:hint="eastAsia" w:ascii="宋体" w:hAnsi="宋体"/>
          <w:szCs w:val="21"/>
          <w:highlight w:val="yellow"/>
        </w:rPr>
        <w:t>联系人：</w:t>
      </w:r>
      <w:r>
        <w:rPr>
          <w:rFonts w:hint="eastAsia" w:ascii="宋体" w:hAnsi="宋体"/>
          <w:szCs w:val="21"/>
          <w:highlight w:val="yellow"/>
          <w:lang w:val="en-US" w:eastAsia="zh-CN"/>
        </w:rPr>
        <w:t>徐晶</w:t>
      </w:r>
      <w:r>
        <w:rPr>
          <w:rFonts w:hint="eastAsia" w:ascii="宋体" w:hAnsi="宋体"/>
          <w:szCs w:val="21"/>
          <w:highlight w:val="yellow"/>
        </w:rPr>
        <w:t xml:space="preserve">                       </w:t>
      </w:r>
      <w:r>
        <w:rPr>
          <w:rFonts w:hint="eastAsia" w:ascii="宋体" w:hAnsi="宋体"/>
          <w:szCs w:val="21"/>
          <w:highlight w:val="yellow"/>
          <w:lang w:val="en-US" w:eastAsia="zh-CN"/>
        </w:rPr>
        <w:t xml:space="preserve">  </w:t>
      </w:r>
      <w:r>
        <w:rPr>
          <w:rFonts w:hint="eastAsia" w:ascii="宋体" w:hAnsi="宋体"/>
          <w:szCs w:val="21"/>
          <w:highlight w:val="yellow"/>
        </w:rPr>
        <w:t>电子邮件：jing.xj@xier-inc.com</w:t>
      </w:r>
    </w:p>
    <w:p>
      <w:pPr>
        <w:spacing w:line="280" w:lineRule="exact"/>
        <w:rPr>
          <w:rFonts w:ascii="宋体" w:hAnsi="宋体"/>
          <w:szCs w:val="21"/>
        </w:rPr>
      </w:pPr>
    </w:p>
    <w:p>
      <w:pPr>
        <w:spacing w:before="93" w:beforeLines="30" w:after="93" w:afterLines="30" w:line="360" w:lineRule="exact"/>
        <w:ind w:firstLine="420" w:firstLineChars="200"/>
        <w:jc w:val="left"/>
        <w:rPr>
          <w:rFonts w:ascii="宋体" w:hAnsi="宋体"/>
          <w:szCs w:val="21"/>
        </w:rPr>
      </w:pPr>
      <w:r>
        <w:rPr>
          <w:rFonts w:hint="eastAsia" w:ascii="宋体" w:hAnsi="宋体"/>
          <w:szCs w:val="21"/>
        </w:rPr>
        <w:t>第一条 当当应在本合同签订后3个工作日内为商户开设当当竞价系统账户。该账户开通后，账户余额为0，商户需向当当交费后方可使用。当当要求上传相关证件资料的情况下商户应及时向当当提供相应的证件资料，否则造成不能开设账号的后果由商户自己承担。</w:t>
      </w:r>
    </w:p>
    <w:p>
      <w:pPr>
        <w:spacing w:before="93" w:beforeLines="30" w:after="93" w:afterLines="30" w:line="360" w:lineRule="exact"/>
        <w:ind w:firstLine="420" w:firstLineChars="200"/>
        <w:jc w:val="left"/>
        <w:rPr>
          <w:rFonts w:ascii="宋体" w:hAnsi="宋体"/>
          <w:szCs w:val="21"/>
        </w:rPr>
      </w:pPr>
      <w:r>
        <w:rPr>
          <w:rFonts w:hint="eastAsia" w:ascii="宋体" w:hAnsi="宋体"/>
          <w:szCs w:val="21"/>
        </w:rPr>
        <w:t>第二条 本合同及其附件均为双方签订的《当当网</w:t>
      </w:r>
      <w:r>
        <w:rPr>
          <w:rFonts w:ascii="宋体" w:hAnsi="宋体"/>
          <w:szCs w:val="21"/>
        </w:rPr>
        <w:t>商户技术服务</w:t>
      </w:r>
      <w:r>
        <w:rPr>
          <w:rFonts w:hint="eastAsia" w:ascii="宋体" w:hAnsi="宋体"/>
          <w:szCs w:val="21"/>
        </w:rPr>
        <w:t>协议》（下称“主合同”）的附件，与主合同具有同等法律效力。</w:t>
      </w:r>
    </w:p>
    <w:p>
      <w:pPr>
        <w:spacing w:before="93" w:beforeLines="30" w:after="93" w:afterLines="30" w:line="360" w:lineRule="exact"/>
        <w:ind w:firstLine="422" w:firstLineChars="200"/>
        <w:jc w:val="left"/>
        <w:rPr>
          <w:rFonts w:ascii="宋体" w:hAnsi="宋体"/>
          <w:b/>
          <w:szCs w:val="21"/>
        </w:rPr>
      </w:pPr>
      <w:r>
        <w:rPr>
          <w:rFonts w:hint="eastAsia" w:ascii="宋体" w:hAnsi="宋体"/>
          <w:b/>
          <w:szCs w:val="21"/>
        </w:rPr>
        <w:t>第三条 注意条款：商户已阅读并完全理解了本合同附件《当当竞价技术服务协议》,同意接受《当当竞价技术服务协议》。</w:t>
      </w:r>
    </w:p>
    <w:p>
      <w:pPr>
        <w:spacing w:before="93" w:beforeLines="30" w:after="93" w:afterLines="30" w:line="360" w:lineRule="exact"/>
        <w:ind w:firstLine="420" w:firstLineChars="200"/>
        <w:jc w:val="left"/>
        <w:rPr>
          <w:rFonts w:ascii="宋体" w:hAnsi="宋体"/>
          <w:szCs w:val="21"/>
        </w:rPr>
      </w:pPr>
      <w:r>
        <w:rPr>
          <w:rFonts w:hint="eastAsia" w:ascii="宋体" w:hAnsi="宋体"/>
          <w:szCs w:val="21"/>
        </w:rPr>
        <w:t>第四条 商户应对其在当当的竞价系统账户进行良好的管理，非当当原因造成的任何损失和引致的法律责任商户自行承担，与当当无关。</w:t>
      </w:r>
    </w:p>
    <w:p>
      <w:pPr>
        <w:spacing w:before="93" w:beforeLines="30" w:after="93" w:afterLines="30" w:line="360" w:lineRule="exact"/>
        <w:ind w:firstLine="420" w:firstLineChars="200"/>
        <w:jc w:val="left"/>
        <w:rPr>
          <w:rFonts w:ascii="宋体" w:hAnsi="宋体"/>
          <w:szCs w:val="21"/>
        </w:rPr>
      </w:pPr>
      <w:r>
        <w:rPr>
          <w:rFonts w:hint="eastAsia" w:ascii="宋体" w:hAnsi="宋体"/>
          <w:szCs w:val="21"/>
        </w:rPr>
        <w:t>第五条 商户对其提交给当当的资料内容的真实性和合法性负完全责任，一切由其内容所引发的纠纷、争议及所涉及的法律责任均由商户承担。</w:t>
      </w:r>
    </w:p>
    <w:p>
      <w:pPr>
        <w:spacing w:before="93" w:beforeLines="30" w:after="93" w:afterLines="30" w:line="360" w:lineRule="exact"/>
        <w:ind w:firstLine="420" w:firstLineChars="200"/>
        <w:jc w:val="left"/>
        <w:rPr>
          <w:rFonts w:ascii="宋体" w:hAnsi="宋体"/>
          <w:szCs w:val="21"/>
        </w:rPr>
      </w:pPr>
      <w:r>
        <w:rPr>
          <w:rFonts w:hint="eastAsia" w:ascii="宋体" w:hAnsi="宋体"/>
          <w:szCs w:val="21"/>
        </w:rPr>
        <w:t>第六条 商户对其发布的竞价内容负责,内容必须符合国家相关法律法规，否则，造成的后果由商户负责。</w:t>
      </w:r>
    </w:p>
    <w:p>
      <w:pPr>
        <w:spacing w:before="93" w:beforeLines="30" w:after="93" w:afterLines="30" w:line="360" w:lineRule="exact"/>
        <w:ind w:firstLine="420" w:firstLineChars="200"/>
        <w:jc w:val="left"/>
        <w:rPr>
          <w:rFonts w:ascii="宋体" w:hAnsi="宋体"/>
          <w:szCs w:val="21"/>
        </w:rPr>
      </w:pPr>
      <w:r>
        <w:rPr>
          <w:rFonts w:hint="eastAsia" w:ascii="宋体" w:hAnsi="宋体"/>
          <w:szCs w:val="21"/>
        </w:rPr>
        <w:t>第七条 商户对其发布的竞价链接下的网站内容负责，一切由该网站内容所引发的纠纷、争议及所涉及的法律责任均由商户承担，一概与当当无关。</w:t>
      </w:r>
    </w:p>
    <w:p>
      <w:pPr>
        <w:spacing w:before="93" w:beforeLines="30" w:after="93" w:afterLines="30" w:line="360" w:lineRule="exact"/>
        <w:ind w:firstLine="420" w:firstLineChars="200"/>
        <w:jc w:val="left"/>
        <w:rPr>
          <w:rFonts w:ascii="宋体" w:hAnsi="宋体"/>
          <w:szCs w:val="21"/>
        </w:rPr>
      </w:pPr>
      <w:r>
        <w:rPr>
          <w:rFonts w:hint="eastAsia" w:ascii="宋体" w:hAnsi="宋体"/>
          <w:szCs w:val="21"/>
        </w:rPr>
        <w:t>第八条 本合同规定的内容，中途如当当调整竞价系统销售政策，商户同意根据调整后的政策修改本合同相关内容。</w:t>
      </w:r>
    </w:p>
    <w:p>
      <w:pPr>
        <w:spacing w:before="93" w:beforeLines="30" w:after="93" w:afterLines="30" w:line="360" w:lineRule="exact"/>
        <w:ind w:firstLine="420" w:firstLineChars="200"/>
        <w:jc w:val="left"/>
        <w:rPr>
          <w:rFonts w:ascii="宋体" w:hAnsi="宋体"/>
          <w:szCs w:val="21"/>
        </w:rPr>
      </w:pPr>
      <w:r>
        <w:rPr>
          <w:rFonts w:hint="eastAsia" w:ascii="宋体" w:hAnsi="宋体"/>
          <w:szCs w:val="21"/>
        </w:rPr>
        <w:t>第九条 本合同一式两份，双方各执一份，双方盖章后生效。本合同未尽事宜,双方应本着“诚信、平等、互让”的原则，协商解决。协商不成，双方均有权向</w:t>
      </w:r>
      <w:r>
        <w:rPr>
          <w:rFonts w:ascii="宋体" w:hAnsi="宋体"/>
          <w:szCs w:val="21"/>
        </w:rPr>
        <w:t>合同签订地</w:t>
      </w:r>
      <w:r>
        <w:rPr>
          <w:rFonts w:hint="eastAsia" w:ascii="宋体" w:hAnsi="宋体"/>
          <w:szCs w:val="21"/>
        </w:rPr>
        <w:t>有管辖权的人民法院起诉。除非双方另有明确规定，本合同传真件亦有效。</w:t>
      </w:r>
    </w:p>
    <w:p>
      <w:pPr>
        <w:spacing w:before="93" w:beforeLines="30" w:after="93" w:afterLines="30" w:line="360" w:lineRule="exact"/>
        <w:ind w:firstLine="420" w:firstLineChars="200"/>
        <w:jc w:val="left"/>
        <w:rPr>
          <w:rFonts w:ascii="宋体" w:hAnsi="宋体"/>
          <w:szCs w:val="21"/>
        </w:rPr>
      </w:pPr>
      <w:r>
        <w:rPr>
          <w:rFonts w:hint="eastAsia" w:ascii="宋体" w:hAnsi="宋体"/>
          <w:szCs w:val="21"/>
        </w:rPr>
        <w:t>（以下无正文）</w:t>
      </w:r>
    </w:p>
    <w:p>
      <w:pPr>
        <w:spacing w:line="360" w:lineRule="exact"/>
        <w:rPr>
          <w:rFonts w:ascii="宋体" w:hAnsi="宋体"/>
          <w:szCs w:val="21"/>
        </w:rPr>
      </w:pPr>
    </w:p>
    <w:p>
      <w:pPr>
        <w:spacing w:line="360" w:lineRule="auto"/>
        <w:jc w:val="center"/>
        <w:rPr>
          <w:rFonts w:ascii="宋体" w:hAnsi="宋体"/>
          <w:b/>
          <w:sz w:val="28"/>
          <w:szCs w:val="28"/>
        </w:rPr>
      </w:pPr>
    </w:p>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当当竞价技术服务协议</w:t>
      </w:r>
    </w:p>
    <w:p>
      <w:pPr>
        <w:spacing w:before="156" w:beforeLines="50" w:after="156" w:afterLines="50" w:line="280" w:lineRule="exact"/>
        <w:rPr>
          <w:rFonts w:asciiTheme="minorEastAsia" w:hAnsiTheme="minorEastAsia" w:eastAsiaTheme="minorEastAsia"/>
          <w:b/>
          <w:szCs w:val="21"/>
        </w:rPr>
      </w:pPr>
      <w:r>
        <w:rPr>
          <w:rFonts w:hint="eastAsia" w:asciiTheme="minorEastAsia" w:hAnsiTheme="minorEastAsia" w:eastAsiaTheme="minorEastAsia"/>
          <w:b/>
          <w:szCs w:val="21"/>
        </w:rPr>
        <w:t>一、接受条款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1.1 欢迎使用当当AdSmart服务。以下所述条款和条件即构成您与当当科文就使用当当AdSmart服务所达成的协议。一旦您使用了该服务，即表示您已接受了以下所述的条款和条件。如果您不同意接受全部的条款和条件，那么您将无权使用该服务。</w:t>
      </w:r>
    </w:p>
    <w:p>
      <w:pPr>
        <w:spacing w:before="156" w:beforeLines="50" w:after="156" w:afterLines="50" w:line="280" w:lineRule="exact"/>
        <w:rPr>
          <w:rFonts w:asciiTheme="minorEastAsia" w:hAnsiTheme="minorEastAsia" w:eastAsiaTheme="minorEastAsia"/>
          <w:b/>
          <w:szCs w:val="21"/>
        </w:rPr>
      </w:pPr>
      <w:r>
        <w:rPr>
          <w:rFonts w:hint="eastAsia" w:asciiTheme="minorEastAsia" w:hAnsiTheme="minorEastAsia" w:eastAsiaTheme="minorEastAsia"/>
          <w:b/>
          <w:szCs w:val="21"/>
        </w:rPr>
        <w:t>二、 定义</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2.1 “当当科文” 即北京当当科文电子商务有限公司。</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2.2 当当AdSmart是当当促销系统的简称。</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2.3 当当AdSmart用户（以下或称为“用户”）：指符合本协议约定条件，且有偿使用当当AdSmart服务的当当会员。</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2.4 当当AdSmart服务费的预付款：用户首次定购当当AdSmart服务，需在选择使用服务的同时或预先向当当科文预付当当AdSmart服务费，该部分预先支付的服务费即为当当AdSmart服务费的预付款。预付款具体数额在当次购买时由用户自行确定，但不得低于当当科文要求的最低金额。</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2.5 当当AdSmart服务费的续费：用户定购当当AdSmart服务并支付首笔预付款后，为继续接受当当AdSmart服务而向当当科文支付的预付款。用户可随时向当当科文付款，但每次付款金额不得低于当当科文要求的最低金额，不设上限。</w:t>
      </w:r>
    </w:p>
    <w:p>
      <w:pPr>
        <w:spacing w:before="156" w:beforeLines="50" w:after="156" w:afterLines="50" w:line="280" w:lineRule="exact"/>
        <w:rPr>
          <w:rFonts w:asciiTheme="minorEastAsia" w:hAnsiTheme="minorEastAsia" w:eastAsiaTheme="minorEastAsia"/>
          <w:b/>
          <w:szCs w:val="21"/>
        </w:rPr>
      </w:pPr>
      <w:r>
        <w:rPr>
          <w:rFonts w:hint="eastAsia" w:asciiTheme="minorEastAsia" w:hAnsiTheme="minorEastAsia" w:eastAsiaTheme="minorEastAsia"/>
          <w:b/>
          <w:szCs w:val="21"/>
        </w:rPr>
        <w:t>三、当当AdSmart服务内容</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用户在点击同意本协议并支付足额的预付款后，可以使用“当当AdSmart服务”自行发布产品信息，用户将依本协议规定享有的服务包含如下功能：</w:t>
      </w:r>
    </w:p>
    <w:p>
      <w:pPr>
        <w:spacing w:before="93" w:beforeLines="30" w:after="93" w:afterLines="30"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3.1 系统竞价支持</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用户可以通过“当当AdSmart服务”系统对所发布的信息进行设定等，系统可使用户发布的信息根据关键词、分类列表、目标人群设定、出价等的不同而列示于不同的网站特定位置或用邮件方式发送给特定目标人群。用户应对其全部信息及信息间的真实、准确、匹配和一致等承担全部责任。</w:t>
      </w:r>
    </w:p>
    <w:p>
      <w:pPr>
        <w:spacing w:before="93" w:beforeLines="30" w:after="93" w:afterLines="30"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3.2 提供信息发布平台</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如用户的出价符合系统规则且综合排名高于其它用户，则系统将自动将用户发布的产品信息，根据用户事先选定的范围，在当当的特定位置展示或以邮件形式发送到特定目标人群。</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用户应对其发布的信息的真实性、准确性、合法性、及时性承担全部责任。</w:t>
      </w:r>
    </w:p>
    <w:p>
      <w:pPr>
        <w:spacing w:before="93" w:beforeLines="30" w:after="93" w:afterLines="30"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3.3 信息的发布和修改功能</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用户可以自行维护发布的信息并修改出价。</w:t>
      </w:r>
    </w:p>
    <w:p>
      <w:pPr>
        <w:spacing w:before="93" w:beforeLines="30" w:after="93" w:afterLines="30"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3.4 记录查询及报表功能</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 xml:space="preserve">用户可以查询用户的出价、当当AdSmart服务费的使用情况、信息点击量等，用户可以获得各类报表支持，具体以系统展现内容为准。 </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用户在此同意：</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当当科文保留随时调整当当信息发布页面规格和形式等的权利或在当前邮件发送目标无法达到时适当调整邮件发送目标的权利而无须事先得到用户的同意，也无须提前告知予用户，用户在此对如上的调整或修改提前作出认可。用户同意当当科文没有义务对所有服务类型的分类及其详细内容，提前告知用户。</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当当科文有权根据产品政策或服务功能修改或拒绝用户提交的竞价信息如选择的分类列表。当当科文保留在任何时候自行决定对当当AdSmart服务及其相关功能、应用软件变更、升级、修改、转移的权利。当当科文进一步保留在服务中开发新的模块、功能和软件或其它语种服务的权利。上述所有新的模块、功能、软件服务的提供，除非当当科文另有说明，否则仍适用本服务协议。当当科文有权随时修改服务内容或本条款而不承担责任。当当科文在任何情况下都无需向会员或第三方在使用服务时对其在传输或联络中的迟延、不准确、错误或疏漏及因此而致使的损害负责。</w:t>
      </w:r>
    </w:p>
    <w:p>
      <w:pPr>
        <w:spacing w:before="93" w:beforeLines="30" w:after="93" w:afterLines="30"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3.5优惠政策</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当当将不定时向当当ADSmart用户推出优惠政策，具体以当当页面公布为准。</w:t>
      </w:r>
      <w:r>
        <w:rPr>
          <w:rFonts w:asciiTheme="minorEastAsia" w:hAnsiTheme="minorEastAsia" w:eastAsiaTheme="minorEastAsia"/>
          <w:szCs w:val="21"/>
        </w:rPr>
        <w:t xml:space="preserve"> </w:t>
      </w:r>
    </w:p>
    <w:p>
      <w:pPr>
        <w:spacing w:before="156" w:beforeLines="50" w:after="156" w:afterLines="50" w:line="280" w:lineRule="exact"/>
        <w:rPr>
          <w:rFonts w:asciiTheme="minorEastAsia" w:hAnsiTheme="minorEastAsia" w:eastAsiaTheme="minorEastAsia"/>
          <w:b/>
          <w:szCs w:val="21"/>
        </w:rPr>
      </w:pPr>
      <w:r>
        <w:rPr>
          <w:rFonts w:hint="eastAsia" w:asciiTheme="minorEastAsia" w:hAnsiTheme="minorEastAsia" w:eastAsiaTheme="minorEastAsia"/>
          <w:b/>
          <w:szCs w:val="21"/>
        </w:rPr>
        <w:t>四、当当AdSmart用户申请资格</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申请使用当当AdSmart服务，用户必须保证同时符合以下条件，如有任何的不符，当当科文保留随时终止对用户的服务的权利：</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4.1 用户必须是当当注册会员。</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4.2 当当科文认为需要具备的其它条件(2010年首期仅接受B2C商家的申请)。</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当当科文有权根据业务发展的需要对上述条件或具体的内容进行调整，并无须为此承担责任。</w:t>
      </w:r>
    </w:p>
    <w:p>
      <w:pPr>
        <w:spacing w:before="156" w:beforeLines="50" w:after="156" w:afterLines="50" w:line="280" w:lineRule="exact"/>
        <w:rPr>
          <w:rFonts w:asciiTheme="minorEastAsia" w:hAnsiTheme="minorEastAsia" w:eastAsiaTheme="minorEastAsia"/>
          <w:b/>
          <w:szCs w:val="21"/>
        </w:rPr>
      </w:pPr>
      <w:r>
        <w:rPr>
          <w:rFonts w:hint="eastAsia" w:asciiTheme="minorEastAsia" w:hAnsiTheme="minorEastAsia" w:eastAsiaTheme="minorEastAsia"/>
          <w:b/>
          <w:szCs w:val="21"/>
        </w:rPr>
        <w:t>五、当当AdSmart服务开通及终止</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5.1 当当科文将于收到当当AdSmart用户按规定支付的服务费用后3个工作日内开通用户使用当当AdSmart服务的权限，并依据本协议规定提供各项服务。一旦用户发布的信息被点击，展示或发送，用户需支付相应的服务费。</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5.2 续费</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当当AdSmart用户账户余额不足的，会导致服务的终止，用户可以及时续费，以继续享有服务。</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5.3 当当AdSmart用户购买的服务可能于下述任一情形下终止：</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（a）预付款消耗完毕或余款不足。</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（b）用户违反当当科文的任何规则，包括但不限于本协议项下的任何约定。</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（c）其它当当科文认为需终止服务的情况。</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 xml:space="preserve">无论本协议因何原因终止，在协议终止前的行为所导致的任何赔偿和责任，用户必须完全且独立地承担责任，且当当科文都有权不退还未消耗的当当AdSmart服务费预付款。 </w:t>
      </w:r>
    </w:p>
    <w:p>
      <w:pPr>
        <w:spacing w:before="156" w:beforeLines="50" w:after="156" w:afterLines="50" w:line="280" w:lineRule="exact"/>
        <w:rPr>
          <w:rFonts w:asciiTheme="minorEastAsia" w:hAnsiTheme="minorEastAsia" w:eastAsiaTheme="minorEastAsia"/>
          <w:b/>
          <w:szCs w:val="21"/>
        </w:rPr>
      </w:pPr>
      <w:r>
        <w:rPr>
          <w:rFonts w:hint="eastAsia" w:asciiTheme="minorEastAsia" w:hAnsiTheme="minorEastAsia" w:eastAsiaTheme="minorEastAsia"/>
          <w:b/>
          <w:szCs w:val="21"/>
        </w:rPr>
        <w:t>六、当当AdSmart用户的义务：</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6.1 当当AdSmart用户在此声明、保证并同意：</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(a)提供真实、准确、及时、完整的信息，无夸张、夸大或虚假描述，保证提供的包括文字、图片在内的信息或描述不侵犯任何第三方的版权、商标权、专利权、商业秘密等合法权利。</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(b)发布的产品信息符合当当科文的要求。</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(c)维护并及时更新上述资料，以保证其真实，准确，及时和完整性。</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如果用户提供的信息不真实，不准确，不及时或不完全，或有第三人对用户提起投诉，或当当科文有合理的理由怀疑其真实性，准确性、及时性和完整性，则当当科文有权随时要求或拒绝发布用户的信息，同时当当科文有权随时中止或终止用户的使用服务资格并拒绝用户使用任何现有的服务及以后可能提供的功能或服务。 </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6.2 当当AdSmart用户在此声明并保证所提供的包括但不限于以文字和图片形式提供的信息和产品不应包含以下内容：</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(a)涉嫌欺诈、涉嫌提供虚假信息、涉嫌销售或试图销售假冒伪劣及盗窃的物品以及其它法律法规限制或禁止销售及推广的物品。</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(b)涉嫌侵犯或教唆他人侵犯第三方的版权，专利，商业秘密或其它合法权利，或涉嫌不正当竞争。 </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(c)涉嫌违反相关法律，法规，规章或决定(包括但不限于国家出口限制，消费者保护，不正当竞争和歧视或虚假服务)。</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(d)涉嫌含有侮辱、诽谤、威胁、恐吓、非法骚扰或其他易引起反感等内容。</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(e)涉嫌含有淫秽、色情、暴力内容。</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(f)涉嫌含有种族，性别，地区，民族，宗教信仰、国籍、残疾、性倾向或年龄等歧视性或倾向性内容。</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(g)涉嫌含有蓄意毁坏、恶意干扰、秘密地截取或侵占任何系统、数据或个人资料的任何病毒、伪装破坏程序、电脑蠕虫、定时程序炸弹或其他电脑程序 。</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(h)其它涉嫌违反当当科文规则的信息。</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6.3 当当AdSmart用户根据本协议使用服务所发布的任何信息或提供的任何资料都必须符合当当网站和当当科文当时及此后公示的发布须知及相关文字说明。</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6.4 当当AdSmart用户对使用服务的效果应有合理预估。当当科文不对当当AdSmart用户使用当当AdSmart服务后的访问量、产品销量等作任何明示或暗示的承诺，与系统预测相关的（包括信赖这些预测行事而产生的）任何后果、责任、风险，当当科文均不承担任何法律责任。</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6.5 当当AdSmart用户应就服务支付预付款，且预付款不得低于当当科文要求的最低额度（当当科文有权不时对最低金额进行调整）。未按规定支付预付款的用户，将无法享有当当AdSmart服务。</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6.6 对任何由当当科文免费提供或作为促销手段赠送的其他服务或服务期，用户同意，当当科文保留随时调整、变更及撤销的权利。</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6.7 如当当AdSmart用户违反本协议规定的任何条款，当当科文有权拒绝向用户提供当当AdSmart服务或随时终止对用户的服务，并终止本协议，用户未消耗的服务费将不予退还，同时当当科文有进一步追究用户法律责任的权利。</w:t>
      </w:r>
    </w:p>
    <w:p>
      <w:pPr>
        <w:spacing w:before="156" w:beforeLines="50" w:after="156" w:afterLines="50" w:line="280" w:lineRule="exact"/>
        <w:rPr>
          <w:rFonts w:asciiTheme="minorEastAsia" w:hAnsiTheme="minorEastAsia" w:eastAsiaTheme="minorEastAsia"/>
          <w:b/>
          <w:szCs w:val="21"/>
        </w:rPr>
      </w:pPr>
      <w:r>
        <w:rPr>
          <w:rFonts w:hint="eastAsia" w:asciiTheme="minorEastAsia" w:hAnsiTheme="minorEastAsia" w:eastAsiaTheme="minorEastAsia"/>
          <w:b/>
          <w:szCs w:val="21"/>
        </w:rPr>
        <w:t>七、诚信经营和第三方投诉处理</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7.1 用户承诺，其将恪守诚信经营原则，在当当AdSmart服务期内，如用户有下列情形之一的，用户同意当当科文有权立即单方提前终止服务，同时当当科文无需退还尚未履行部分的预付款，且无需承担任何违约责任：</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(a)涉嫌利用当当AdSmart服务实施欺诈或其他违法行为的（当当科文有权单方对此作出认定）；</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(b)未经当当科文书面同意，擅自许可他人使用当当AdSmart服务或擅自将当当AdSmart服务转让或部分转让他人的（包括但不限于擅自许可他人使用其账号和密码，或擅自将其账号和密码转让或泄露给他人的）；</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(c)利用当当AdSmart服务或计算机病毒/程序等手段，非法窃取、删除、修改或增加当当或当当其他会员的任何信息，或以其他任何方式危害当当的正常运行的；</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(d)违反其他约定或网站规则的。</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7.2 如有第三方因包括但不限于当当AdSmart用户提供的文字、图片等涉嫌侵犯第三方版权、商标权、专利权、商业秘密等对当当AdSmart用户投诉的，当当科文有权立即停止对用户的服务，尚未消耗的服务费不予退还。因此造成的后果、赔偿责任由用户自行承担。</w:t>
      </w:r>
    </w:p>
    <w:p>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 xml:space="preserve">    7.3如有第三方投诉用户在本协议项下的信息展现并造成当当科文损失的（包括但不限于依法必须支付给第三方的赔偿款、诉讼费、律师费、公证费等），均由用户承担。</w:t>
      </w:r>
    </w:p>
    <w:p>
      <w:pPr>
        <w:spacing w:before="156" w:beforeLines="50" w:after="156" w:afterLines="50" w:line="280" w:lineRule="exact"/>
        <w:rPr>
          <w:rFonts w:asciiTheme="minorEastAsia" w:hAnsiTheme="minorEastAsia" w:eastAsiaTheme="minorEastAsia"/>
          <w:b/>
          <w:szCs w:val="21"/>
        </w:rPr>
      </w:pPr>
      <w:r>
        <w:rPr>
          <w:rFonts w:hint="eastAsia" w:asciiTheme="minorEastAsia" w:hAnsiTheme="minorEastAsia" w:eastAsiaTheme="minorEastAsia"/>
          <w:b/>
          <w:szCs w:val="21"/>
        </w:rPr>
        <w:t>八、 责任限制</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8.1服务将按“现状”和按“可得到”的状态提供。当当科文在此明确声明对当当AdSmart服务不作任何明示或暗示的保证，包括但不限于对服务的可适用性、没有错误或疏漏、持续性、准确性、可靠性、适用于某一特定用途之类的保证、声明或承诺。</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8.2当当科文对当当AdSmart服务所涉的技术和信息的有效性，准确性，正确性，可靠性，质量，稳定，完整和及时性均不作承诺和保证。</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 xml:space="preserve">8.3当当科文对用户的任何通知，不论是口头还是书面的，均不表示当当科文做出在本协议陈述以外的任何担保责任。      </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8.4对下列情形，当当科文不承担任何责任：</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（a）并非由于当当科文的故意或过失而导致服务未能提供。</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（b）由于用户的故意或过失导致用户及/或任何第三方遭受包括但不限于版权、商标权、专利权、商业秘密的损失或因此向当当科文提出索赔的。</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（c）用户违反本协议，或违反与当当科文的其它协议、合同及/或约定，或者违反当当科文的规则。</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（d）因不可抗力导致当当科文不能履行其义务的。</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8.5无论何种情形，用户同意当当科文对用户使用当当AdSmart服务所致的损害的赔偿限额最高不超过50元人民币。</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8.6 当当科文不就不可抗力如通信系统或互联网的中断、迟延或无法运作、技术故障、计算机错误或病毒、信息损坏或丢失或其它在当当科文合理控制范围之外的原因而产生的其他任何性质的破坏而向用户或任何第三方承担损害赔偿责任。</w:t>
      </w:r>
    </w:p>
    <w:p>
      <w:pPr>
        <w:spacing w:before="156" w:beforeLines="50" w:after="156" w:afterLines="50" w:line="280" w:lineRule="exact"/>
        <w:rPr>
          <w:rFonts w:asciiTheme="minorEastAsia" w:hAnsiTheme="minorEastAsia" w:eastAsiaTheme="minorEastAsia"/>
          <w:b/>
          <w:szCs w:val="21"/>
        </w:rPr>
      </w:pPr>
      <w:r>
        <w:rPr>
          <w:rFonts w:hint="eastAsia" w:asciiTheme="minorEastAsia" w:hAnsiTheme="minorEastAsia" w:eastAsiaTheme="minorEastAsia"/>
          <w:b/>
          <w:szCs w:val="21"/>
        </w:rPr>
        <w:t>九、联盟推广服务</w:t>
      </w:r>
    </w:p>
    <w:p>
      <w:pPr>
        <w:spacing w:line="360" w:lineRule="exact"/>
        <w:ind w:firstLine="315" w:firstLineChars="150"/>
        <w:rPr>
          <w:rFonts w:asciiTheme="minorEastAsia" w:hAnsiTheme="minorEastAsia" w:eastAsiaTheme="minorEastAsia"/>
          <w:szCs w:val="21"/>
        </w:rPr>
      </w:pPr>
      <w:r>
        <w:rPr>
          <w:rFonts w:hint="eastAsia" w:asciiTheme="minorEastAsia" w:hAnsiTheme="minorEastAsia" w:eastAsiaTheme="minorEastAsia"/>
          <w:szCs w:val="21"/>
        </w:rPr>
        <w:t>9.1鉴于用户入驻当当科文开放平台，为推广用户店铺及商品，当当科文同意通过其联盟网站，为用户提供联盟推广服务（包括但不限于pc端、移动设备端等的联盟），用户同意使用上述服务，并同意严格遵守与推广服务相关的当当科文全部规则、流程及要求等。</w:t>
      </w:r>
    </w:p>
    <w:p>
      <w:pPr>
        <w:spacing w:line="360" w:lineRule="exact"/>
        <w:ind w:firstLine="315" w:firstLineChars="150"/>
        <w:rPr>
          <w:rFonts w:asciiTheme="minorEastAsia" w:hAnsiTheme="minorEastAsia" w:eastAsiaTheme="minorEastAsia"/>
          <w:szCs w:val="21"/>
        </w:rPr>
      </w:pPr>
      <w:r>
        <w:rPr>
          <w:rFonts w:hint="eastAsia" w:asciiTheme="minorEastAsia" w:hAnsiTheme="minorEastAsia" w:eastAsiaTheme="minorEastAsia"/>
          <w:szCs w:val="21"/>
        </w:rPr>
        <w:t>9.2如用户开通本项服务时，与当当科文尚有欠款未结清，当当科文有权要求用户向当当科文指定账户预交人民币</w:t>
      </w:r>
      <w:r>
        <w:rPr>
          <w:rFonts w:hint="eastAsia" w:asciiTheme="minorEastAsia" w:hAnsiTheme="minorEastAsia" w:eastAsiaTheme="minorEastAsia"/>
          <w:szCs w:val="21"/>
          <w:u w:val="single"/>
        </w:rPr>
        <w:t xml:space="preserve">     /     </w:t>
      </w:r>
      <w:r>
        <w:rPr>
          <w:rFonts w:hint="eastAsia" w:asciiTheme="minorEastAsia" w:hAnsiTheme="minorEastAsia" w:eastAsiaTheme="minorEastAsia"/>
          <w:szCs w:val="21"/>
        </w:rPr>
        <w:t>元的保证金。用户应在本协议签订后7日内全额交付上述保证金，方可开通此项服务；上述保证金在本协议终止且当当科文确认用户未有任何欠费后无息退还。</w:t>
      </w:r>
    </w:p>
    <w:p>
      <w:pPr>
        <w:spacing w:line="360" w:lineRule="exact"/>
        <w:ind w:firstLine="315" w:firstLineChars="150"/>
        <w:rPr>
          <w:rFonts w:asciiTheme="minorEastAsia" w:hAnsiTheme="minorEastAsia" w:eastAsiaTheme="minorEastAsia"/>
          <w:szCs w:val="21"/>
        </w:rPr>
      </w:pPr>
      <w:r>
        <w:rPr>
          <w:rFonts w:hint="eastAsia" w:asciiTheme="minorEastAsia" w:hAnsiTheme="minorEastAsia" w:eastAsiaTheme="minorEastAsia"/>
          <w:szCs w:val="21"/>
        </w:rPr>
        <w:t>9.3本协议生效后，当当科文将在其ADsmart系统中为用户的账户开通联盟推广服务模块；如用户涉及需支付保证金的情况，上述服务模块将在当当收到用户支付的保证金后开通。</w:t>
      </w:r>
    </w:p>
    <w:p>
      <w:pPr>
        <w:spacing w:line="360" w:lineRule="exact"/>
        <w:ind w:firstLine="315" w:firstLineChars="150"/>
        <w:rPr>
          <w:rFonts w:asciiTheme="minorEastAsia" w:hAnsiTheme="minorEastAsia" w:eastAsiaTheme="minorEastAsia"/>
          <w:szCs w:val="21"/>
        </w:rPr>
      </w:pPr>
      <w:r>
        <w:rPr>
          <w:rFonts w:hint="eastAsia" w:asciiTheme="minorEastAsia" w:hAnsiTheme="minorEastAsia" w:eastAsiaTheme="minorEastAsia"/>
          <w:szCs w:val="21"/>
        </w:rPr>
        <w:t>9.4当当科文在收到联盟后台提供的数据后，于每月15日（如遇节假日顺延至工作日的第一天）前通过ADsmart系统将上月15日至当月14日的结算数据发送给用户。</w:t>
      </w:r>
    </w:p>
    <w:p>
      <w:pPr>
        <w:spacing w:line="360" w:lineRule="exact"/>
        <w:ind w:firstLine="315" w:firstLineChars="150"/>
        <w:rPr>
          <w:rFonts w:asciiTheme="minorEastAsia" w:hAnsiTheme="minorEastAsia" w:eastAsiaTheme="minorEastAsia"/>
          <w:szCs w:val="21"/>
        </w:rPr>
      </w:pPr>
      <w:r>
        <w:rPr>
          <w:rFonts w:hint="eastAsia" w:asciiTheme="minorEastAsia" w:hAnsiTheme="minorEastAsia" w:eastAsiaTheme="minorEastAsia"/>
          <w:szCs w:val="21"/>
        </w:rPr>
        <w:t>9.5用户同意并确认，上述服务费金额、明细等均以当当科文系统的数据为准。</w:t>
      </w:r>
    </w:p>
    <w:p>
      <w:pPr>
        <w:spacing w:line="360" w:lineRule="exact"/>
        <w:ind w:firstLine="315" w:firstLineChars="150"/>
        <w:rPr>
          <w:rFonts w:asciiTheme="minorEastAsia" w:hAnsiTheme="minorEastAsia" w:eastAsiaTheme="minorEastAsia"/>
          <w:szCs w:val="21"/>
        </w:rPr>
      </w:pPr>
      <w:r>
        <w:rPr>
          <w:rFonts w:hint="eastAsia" w:asciiTheme="minorEastAsia" w:hAnsiTheme="minorEastAsia" w:eastAsiaTheme="minorEastAsia"/>
          <w:szCs w:val="21"/>
        </w:rPr>
        <w:t>9.6用户应于收到上述账单后5日内通过ADsmart系统确认上述期间的服务费账单。</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如用户未在上述规定的时间确认上述服务费账单的，视为用户同意并确认上述账单及金额。</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若用户对服务费账单有异议并能提供确实证据的，用户须在确认上述账单后向当当另行书面提出，经当当科文核实后属实的，当当科文将在下一期服务费账单中予以扣除。用户不得以包括对服务费账单有异议在内的任何理由拒绝支付服务费。</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9.7上述服务费按月结算，用户并同意当当每月于当月30日前从用户应结货款中将该月服务费全额扣收。</w:t>
      </w:r>
    </w:p>
    <w:p>
      <w:pPr>
        <w:spacing w:before="156" w:beforeLines="50" w:after="156" w:afterLines="50" w:line="280" w:lineRule="exact"/>
        <w:rPr>
          <w:rFonts w:asciiTheme="minorEastAsia" w:hAnsiTheme="minorEastAsia" w:eastAsiaTheme="minorEastAsia"/>
          <w:b/>
          <w:szCs w:val="21"/>
        </w:rPr>
      </w:pPr>
      <w:r>
        <w:rPr>
          <w:rFonts w:hint="eastAsia" w:asciiTheme="minorEastAsia" w:hAnsiTheme="minorEastAsia" w:eastAsiaTheme="minorEastAsia"/>
          <w:b/>
          <w:szCs w:val="21"/>
        </w:rPr>
        <w:t>十、 保密责任</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 xml:space="preserve">用户应对其自当当科文获取或知悉的任何与当当科文和当当科文产品和/或服务有关的可被合理认为具有保密性的信息（以下统称“保密信息”），包括但不限于销售数据和客户信息，予以严格保密。除非经当当科文书面同意，用户不得非为履行本协议之目的直接或间接地使用保密信息或向任何第三方透露或允许任何第三方使用保密信息。 </w:t>
      </w:r>
    </w:p>
    <w:p>
      <w:pPr>
        <w:spacing w:before="156" w:beforeLines="50" w:after="156" w:afterLines="50" w:line="280" w:lineRule="exact"/>
        <w:rPr>
          <w:rFonts w:asciiTheme="minorEastAsia" w:hAnsiTheme="minorEastAsia" w:eastAsiaTheme="minorEastAsia"/>
          <w:b/>
          <w:szCs w:val="21"/>
        </w:rPr>
      </w:pPr>
      <w:r>
        <w:rPr>
          <w:rFonts w:hint="eastAsia" w:asciiTheme="minorEastAsia" w:hAnsiTheme="minorEastAsia" w:eastAsiaTheme="minorEastAsia"/>
          <w:b/>
          <w:szCs w:val="21"/>
        </w:rPr>
        <w:t>十一、 知识产权</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当当科文是服务所有权利的拥有者。服务包含商业秘密和全世界范围内的版权和其它知识产权。服务的全部权利，包括所有权和知识产权将由当当科文保留。其它本协议中未经提及的权利亦由当当科文保留。</w:t>
      </w:r>
    </w:p>
    <w:p>
      <w:pPr>
        <w:spacing w:before="156" w:beforeLines="50" w:after="156" w:afterLines="50" w:line="280" w:lineRule="exact"/>
        <w:rPr>
          <w:rFonts w:asciiTheme="minorEastAsia" w:hAnsiTheme="minorEastAsia" w:eastAsiaTheme="minorEastAsia"/>
          <w:b/>
          <w:szCs w:val="21"/>
        </w:rPr>
      </w:pPr>
      <w:r>
        <w:rPr>
          <w:rFonts w:hint="eastAsia" w:asciiTheme="minorEastAsia" w:hAnsiTheme="minorEastAsia" w:eastAsiaTheme="minorEastAsia"/>
          <w:b/>
          <w:szCs w:val="21"/>
        </w:rPr>
        <w:t>十二、 协议的修改和解释</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12.1 当当科文有权随时根据中华人民共和国有关法律、法规的变化、互联网的发展以及公司经营状况和经营策略的调整等情况修改本协议和当当AdSmart服务规则等，修改自当当科文作出之日起即对双方产生效力。用户有必要对最新的协议条款和服务规则等进行仔细阅读和重新确认，当发生有关争议时，以最新的协议条款和服务规则为准。如果用户不同意所改动的内容，用户应不再申请及使用当当AdSmart服务 。</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12.2 如本协议的任何条款被视作无效或无法执行，则上述条款可被分离，其余部分则仍具有法律效力。本协议的标题仅为方便阅读所设，非对条款的定义、限制、解释或描述其范围或界限。</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12.3当当科文于用户过失或违约时放弃本协议规定的权利的，不得视为其对用户的其他或以后同类之过失或违约行为弃权。</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12.4如发生协议条款与中华人民共和国法律相抵触时，则这些条款将完全按法律规定重新解释，而其它条款则依旧对用户有约束力。任何关于本协议的起诉将在</w:t>
      </w:r>
      <w:r>
        <w:rPr>
          <w:rFonts w:asciiTheme="minorEastAsia" w:hAnsiTheme="minorEastAsia" w:eastAsiaTheme="minorEastAsia"/>
          <w:szCs w:val="21"/>
        </w:rPr>
        <w:t>协议签订地</w:t>
      </w:r>
      <w:r>
        <w:rPr>
          <w:rFonts w:hint="eastAsia" w:asciiTheme="minorEastAsia" w:hAnsiTheme="minorEastAsia" w:eastAsiaTheme="minorEastAsia"/>
          <w:szCs w:val="21"/>
        </w:rPr>
        <w:t>人民法院进行。</w:t>
      </w:r>
    </w:p>
    <w:p>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pPr>
        <w:widowControl/>
        <w:jc w:val="left"/>
        <w:rPr>
          <w:rFonts w:asciiTheme="minorEastAsia" w:hAnsiTheme="minorEastAsia" w:eastAsiaTheme="minorEastAsia"/>
          <w:b/>
          <w:szCs w:val="21"/>
        </w:rPr>
      </w:pPr>
      <w:r>
        <w:rPr>
          <w:rFonts w:hint="eastAsia" w:asciiTheme="minorEastAsia" w:hAnsiTheme="minorEastAsia" w:eastAsiaTheme="minorEastAsia"/>
          <w:b/>
          <w:szCs w:val="21"/>
        </w:rPr>
        <w:t>附件4</w:t>
      </w:r>
    </w:p>
    <w:p>
      <w:pPr>
        <w:widowControl/>
        <w:jc w:val="left"/>
        <w:rPr>
          <w:rFonts w:asciiTheme="minorEastAsia" w:hAnsiTheme="minorEastAsia" w:eastAsiaTheme="minorEastAsia"/>
          <w:b/>
          <w:szCs w:val="21"/>
        </w:rPr>
      </w:pPr>
    </w:p>
    <w:p>
      <w:pPr>
        <w:spacing w:line="230" w:lineRule="exact"/>
        <w:jc w:val="center"/>
        <w:rPr>
          <w:rFonts w:ascii="宋体" w:hAnsi="宋体"/>
          <w:b/>
          <w:kern w:val="0"/>
          <w:sz w:val="18"/>
          <w:szCs w:val="18"/>
        </w:rPr>
      </w:pPr>
      <w:r>
        <w:rPr>
          <w:rFonts w:hint="eastAsia" w:ascii="宋体" w:hAnsi="宋体"/>
          <w:b/>
          <w:kern w:val="0"/>
          <w:sz w:val="24"/>
          <w:szCs w:val="24"/>
        </w:rPr>
        <w:t>厂家\供应商应提供的合法资质文件</w:t>
      </w:r>
    </w:p>
    <w:p>
      <w:pPr>
        <w:spacing w:line="230" w:lineRule="exact"/>
        <w:ind w:firstLine="361" w:firstLineChars="200"/>
        <w:rPr>
          <w:rFonts w:ascii="宋体" w:hAnsi="宋体"/>
          <w:b/>
          <w:sz w:val="18"/>
          <w:szCs w:val="18"/>
        </w:rPr>
      </w:pPr>
      <w:r>
        <w:rPr>
          <w:rFonts w:hint="eastAsia" w:ascii="宋体" w:hAnsi="宋体"/>
          <w:b/>
          <w:sz w:val="18"/>
          <w:szCs w:val="18"/>
        </w:rPr>
        <w:t>1.基本资质证件---签约供应商为所经营商品的生产制造厂家或代理商</w:t>
      </w: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36"/>
        <w:gridCol w:w="2145"/>
        <w:gridCol w:w="65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jc w:val="center"/>
        </w:trPr>
        <w:tc>
          <w:tcPr>
            <w:tcW w:w="636" w:type="dxa"/>
            <w:vAlign w:val="center"/>
          </w:tcPr>
          <w:p>
            <w:pPr>
              <w:spacing w:line="230" w:lineRule="exact"/>
              <w:rPr>
                <w:rFonts w:ascii="宋体" w:hAnsi="宋体"/>
                <w:b/>
                <w:sz w:val="18"/>
                <w:szCs w:val="18"/>
              </w:rPr>
            </w:pPr>
          </w:p>
        </w:tc>
        <w:tc>
          <w:tcPr>
            <w:tcW w:w="2145" w:type="dxa"/>
            <w:vAlign w:val="center"/>
          </w:tcPr>
          <w:p>
            <w:pPr>
              <w:spacing w:line="230" w:lineRule="exact"/>
              <w:rPr>
                <w:rFonts w:ascii="宋体" w:hAnsi="宋体"/>
                <w:b/>
                <w:sz w:val="18"/>
                <w:szCs w:val="18"/>
              </w:rPr>
            </w:pPr>
            <w:r>
              <w:rPr>
                <w:rFonts w:hint="eastAsia" w:ascii="宋体" w:hAnsi="宋体"/>
                <w:b/>
                <w:sz w:val="18"/>
                <w:szCs w:val="18"/>
              </w:rPr>
              <w:t>证件名称</w:t>
            </w:r>
          </w:p>
        </w:tc>
        <w:tc>
          <w:tcPr>
            <w:tcW w:w="6573" w:type="dxa"/>
            <w:vAlign w:val="center"/>
          </w:tcPr>
          <w:p>
            <w:pPr>
              <w:spacing w:line="230" w:lineRule="exact"/>
              <w:jc w:val="center"/>
              <w:rPr>
                <w:rFonts w:ascii="宋体" w:hAnsi="宋体"/>
                <w:b/>
                <w:sz w:val="18"/>
                <w:szCs w:val="18"/>
              </w:rPr>
            </w:pPr>
            <w:r>
              <w:rPr>
                <w:rFonts w:hint="eastAsia" w:ascii="宋体" w:hAnsi="宋体"/>
                <w:b/>
                <w:sz w:val="18"/>
                <w:szCs w:val="18"/>
              </w:rPr>
              <w:t>资质要求及涉及类别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36" w:type="dxa"/>
            <w:vAlign w:val="center"/>
          </w:tcPr>
          <w:p>
            <w:pPr>
              <w:spacing w:line="230" w:lineRule="exact"/>
              <w:rPr>
                <w:rFonts w:ascii="宋体" w:hAnsi="宋体"/>
                <w:sz w:val="18"/>
                <w:szCs w:val="18"/>
              </w:rPr>
            </w:pPr>
            <w:r>
              <w:rPr>
                <w:rFonts w:hint="eastAsia" w:ascii="宋体" w:hAnsi="宋体"/>
                <w:sz w:val="18"/>
                <w:szCs w:val="18"/>
              </w:rPr>
              <w:t>1.1</w:t>
            </w:r>
          </w:p>
        </w:tc>
        <w:tc>
          <w:tcPr>
            <w:tcW w:w="2145" w:type="dxa"/>
            <w:vAlign w:val="center"/>
          </w:tcPr>
          <w:p>
            <w:pPr>
              <w:spacing w:line="230" w:lineRule="exact"/>
              <w:rPr>
                <w:rFonts w:ascii="宋体" w:hAnsi="宋体"/>
                <w:sz w:val="18"/>
                <w:szCs w:val="18"/>
              </w:rPr>
            </w:pPr>
            <w:r>
              <w:rPr>
                <w:rFonts w:hint="eastAsia" w:ascii="宋体" w:hAnsi="宋体"/>
                <w:sz w:val="18"/>
                <w:szCs w:val="18"/>
              </w:rPr>
              <w:t>营业执照</w:t>
            </w:r>
          </w:p>
        </w:tc>
        <w:tc>
          <w:tcPr>
            <w:tcW w:w="6573" w:type="dxa"/>
            <w:vAlign w:val="center"/>
          </w:tcPr>
          <w:p>
            <w:pPr>
              <w:spacing w:line="230" w:lineRule="exact"/>
              <w:rPr>
                <w:rFonts w:ascii="宋体" w:hAnsi="宋体"/>
                <w:sz w:val="18"/>
                <w:szCs w:val="18"/>
              </w:rPr>
            </w:pPr>
            <w:r>
              <w:rPr>
                <w:rFonts w:hint="eastAsia" w:ascii="宋体" w:hAnsi="宋体"/>
                <w:sz w:val="18"/>
                <w:szCs w:val="18"/>
              </w:rPr>
              <w:t>必须具有法人资格；每年3</w:t>
            </w:r>
            <w:r>
              <w:rPr>
                <w:rFonts w:ascii="宋体" w:hAnsi="宋体"/>
                <w:sz w:val="18"/>
                <w:szCs w:val="18"/>
              </w:rPr>
              <w:t>—</w:t>
            </w:r>
            <w:r>
              <w:rPr>
                <w:rFonts w:hint="eastAsia" w:ascii="宋体" w:hAnsi="宋体"/>
                <w:sz w:val="18"/>
                <w:szCs w:val="18"/>
              </w:rPr>
              <w:t>5月进行年检；如为分支机构，不具有法人资格的，需提供总公司的授权书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36" w:type="dxa"/>
            <w:vAlign w:val="center"/>
          </w:tcPr>
          <w:p>
            <w:pPr>
              <w:spacing w:line="230" w:lineRule="exact"/>
              <w:rPr>
                <w:rFonts w:ascii="宋体" w:hAnsi="宋体"/>
                <w:sz w:val="18"/>
                <w:szCs w:val="18"/>
              </w:rPr>
            </w:pPr>
            <w:r>
              <w:rPr>
                <w:rFonts w:hint="eastAsia" w:ascii="宋体" w:hAnsi="宋体"/>
                <w:sz w:val="18"/>
                <w:szCs w:val="18"/>
              </w:rPr>
              <w:t>1.2</w:t>
            </w:r>
          </w:p>
        </w:tc>
        <w:tc>
          <w:tcPr>
            <w:tcW w:w="2145" w:type="dxa"/>
            <w:vAlign w:val="center"/>
          </w:tcPr>
          <w:p>
            <w:pPr>
              <w:spacing w:line="230" w:lineRule="exact"/>
              <w:rPr>
                <w:rFonts w:ascii="宋体" w:hAnsi="宋体"/>
                <w:sz w:val="18"/>
                <w:szCs w:val="18"/>
              </w:rPr>
            </w:pPr>
            <w:r>
              <w:rPr>
                <w:rFonts w:hint="eastAsia" w:ascii="宋体" w:hAnsi="宋体"/>
                <w:sz w:val="18"/>
                <w:szCs w:val="18"/>
              </w:rPr>
              <w:t>税务登记证</w:t>
            </w:r>
          </w:p>
        </w:tc>
        <w:tc>
          <w:tcPr>
            <w:tcW w:w="6573" w:type="dxa"/>
            <w:vAlign w:val="center"/>
          </w:tcPr>
          <w:p>
            <w:pPr>
              <w:spacing w:line="230" w:lineRule="exact"/>
              <w:rPr>
                <w:rFonts w:ascii="宋体" w:hAnsi="宋体"/>
                <w:sz w:val="18"/>
                <w:szCs w:val="18"/>
              </w:rPr>
            </w:pPr>
            <w:r>
              <w:rPr>
                <w:rFonts w:hint="eastAsia" w:ascii="宋体" w:hAnsi="宋体"/>
                <w:sz w:val="18"/>
                <w:szCs w:val="18"/>
              </w:rPr>
              <w:t>有效期内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36" w:type="dxa"/>
            <w:vAlign w:val="center"/>
          </w:tcPr>
          <w:p>
            <w:pPr>
              <w:spacing w:line="230" w:lineRule="exact"/>
              <w:rPr>
                <w:rFonts w:ascii="宋体" w:hAnsi="宋体"/>
                <w:sz w:val="18"/>
                <w:szCs w:val="18"/>
              </w:rPr>
            </w:pPr>
            <w:r>
              <w:rPr>
                <w:rFonts w:hint="eastAsia" w:ascii="宋体" w:hAnsi="宋体"/>
                <w:sz w:val="18"/>
                <w:szCs w:val="18"/>
              </w:rPr>
              <w:t>1.3</w:t>
            </w:r>
          </w:p>
        </w:tc>
        <w:tc>
          <w:tcPr>
            <w:tcW w:w="2145" w:type="dxa"/>
            <w:vAlign w:val="center"/>
          </w:tcPr>
          <w:p>
            <w:pPr>
              <w:spacing w:line="230" w:lineRule="exact"/>
              <w:rPr>
                <w:rFonts w:ascii="宋体" w:hAnsi="宋体"/>
                <w:sz w:val="18"/>
                <w:szCs w:val="18"/>
              </w:rPr>
            </w:pPr>
            <w:r>
              <w:rPr>
                <w:rFonts w:hint="eastAsia" w:ascii="宋体" w:hAnsi="宋体"/>
                <w:sz w:val="18"/>
                <w:szCs w:val="18"/>
              </w:rPr>
              <w:t>组织机构代码证</w:t>
            </w:r>
          </w:p>
        </w:tc>
        <w:tc>
          <w:tcPr>
            <w:tcW w:w="6573" w:type="dxa"/>
            <w:vAlign w:val="center"/>
          </w:tcPr>
          <w:p>
            <w:pPr>
              <w:spacing w:line="230" w:lineRule="exact"/>
              <w:rPr>
                <w:rFonts w:ascii="宋体" w:hAnsi="宋体"/>
                <w:sz w:val="18"/>
                <w:szCs w:val="18"/>
              </w:rPr>
            </w:pPr>
            <w:r>
              <w:rPr>
                <w:rFonts w:hint="eastAsia" w:ascii="宋体" w:hAnsi="宋体"/>
                <w:sz w:val="18"/>
                <w:szCs w:val="18"/>
              </w:rPr>
              <w:t>有效期内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36" w:type="dxa"/>
            <w:vAlign w:val="center"/>
          </w:tcPr>
          <w:p>
            <w:pPr>
              <w:spacing w:line="230" w:lineRule="exact"/>
              <w:rPr>
                <w:rFonts w:ascii="宋体" w:hAnsi="宋体"/>
                <w:sz w:val="18"/>
                <w:szCs w:val="18"/>
              </w:rPr>
            </w:pPr>
            <w:r>
              <w:rPr>
                <w:rFonts w:hint="eastAsia" w:ascii="宋体" w:hAnsi="宋体"/>
                <w:sz w:val="18"/>
                <w:szCs w:val="18"/>
              </w:rPr>
              <w:t>1.4</w:t>
            </w:r>
          </w:p>
        </w:tc>
        <w:tc>
          <w:tcPr>
            <w:tcW w:w="2145" w:type="dxa"/>
            <w:vAlign w:val="center"/>
          </w:tcPr>
          <w:p>
            <w:pPr>
              <w:spacing w:line="230" w:lineRule="exact"/>
              <w:rPr>
                <w:rFonts w:ascii="宋体" w:hAnsi="宋体"/>
                <w:sz w:val="18"/>
                <w:szCs w:val="18"/>
              </w:rPr>
            </w:pPr>
            <w:r>
              <w:rPr>
                <w:rFonts w:hint="eastAsia" w:ascii="宋体" w:hAnsi="宋体"/>
                <w:sz w:val="18"/>
                <w:szCs w:val="18"/>
              </w:rPr>
              <w:t>产品质量检验合格证明或质量检测报告</w:t>
            </w:r>
          </w:p>
        </w:tc>
        <w:tc>
          <w:tcPr>
            <w:tcW w:w="6573" w:type="dxa"/>
            <w:vAlign w:val="center"/>
          </w:tcPr>
          <w:p>
            <w:pPr>
              <w:spacing w:line="230" w:lineRule="exact"/>
              <w:rPr>
                <w:rFonts w:ascii="宋体" w:hAnsi="宋体"/>
                <w:sz w:val="18"/>
                <w:szCs w:val="18"/>
              </w:rPr>
            </w:pPr>
            <w:r>
              <w:rPr>
                <w:rFonts w:hint="eastAsia" w:ascii="宋体" w:hAnsi="宋体"/>
                <w:sz w:val="18"/>
                <w:szCs w:val="18"/>
              </w:rPr>
              <w:t>所有在店经营的商品的检测报告；有效期内；（食品类检测报告有效期半年，用品类商品检测报告有效期一年）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36" w:type="dxa"/>
            <w:vAlign w:val="center"/>
          </w:tcPr>
          <w:p>
            <w:pPr>
              <w:spacing w:line="230" w:lineRule="exact"/>
              <w:rPr>
                <w:rFonts w:ascii="宋体" w:hAnsi="宋体"/>
                <w:sz w:val="18"/>
                <w:szCs w:val="18"/>
              </w:rPr>
            </w:pPr>
            <w:r>
              <w:rPr>
                <w:rFonts w:hint="eastAsia" w:ascii="宋体" w:hAnsi="宋体"/>
                <w:sz w:val="18"/>
                <w:szCs w:val="18"/>
              </w:rPr>
              <w:t>1.5</w:t>
            </w:r>
          </w:p>
        </w:tc>
        <w:tc>
          <w:tcPr>
            <w:tcW w:w="2145" w:type="dxa"/>
            <w:vAlign w:val="center"/>
          </w:tcPr>
          <w:p>
            <w:pPr>
              <w:spacing w:line="230" w:lineRule="exact"/>
              <w:rPr>
                <w:rFonts w:ascii="宋体" w:hAnsi="宋体"/>
                <w:sz w:val="18"/>
                <w:szCs w:val="18"/>
              </w:rPr>
            </w:pPr>
            <w:r>
              <w:rPr>
                <w:rFonts w:hint="eastAsia" w:ascii="宋体" w:hAnsi="宋体"/>
                <w:sz w:val="18"/>
                <w:szCs w:val="18"/>
              </w:rPr>
              <w:t>商标注册证</w:t>
            </w:r>
          </w:p>
        </w:tc>
        <w:tc>
          <w:tcPr>
            <w:tcW w:w="6573" w:type="dxa"/>
            <w:vAlign w:val="center"/>
          </w:tcPr>
          <w:p>
            <w:pPr>
              <w:spacing w:line="230" w:lineRule="exact"/>
              <w:rPr>
                <w:rFonts w:ascii="宋体" w:hAnsi="宋体"/>
                <w:sz w:val="18"/>
                <w:szCs w:val="18"/>
              </w:rPr>
            </w:pPr>
            <w:r>
              <w:rPr>
                <w:rFonts w:hint="eastAsia" w:ascii="宋体" w:hAnsi="宋体"/>
                <w:sz w:val="18"/>
                <w:szCs w:val="18"/>
              </w:rPr>
              <w:t>有效期内；注册申请人与生产企业相同；如不同，需提供授权使用或转让使用证明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36" w:type="dxa"/>
            <w:vAlign w:val="center"/>
          </w:tcPr>
          <w:p>
            <w:pPr>
              <w:spacing w:line="230" w:lineRule="exact"/>
              <w:rPr>
                <w:rFonts w:ascii="宋体" w:hAnsi="宋体"/>
                <w:sz w:val="18"/>
                <w:szCs w:val="18"/>
              </w:rPr>
            </w:pPr>
            <w:r>
              <w:rPr>
                <w:rFonts w:hint="eastAsia" w:ascii="宋体" w:hAnsi="宋体"/>
                <w:sz w:val="18"/>
                <w:szCs w:val="18"/>
              </w:rPr>
              <w:t>1.6</w:t>
            </w:r>
          </w:p>
        </w:tc>
        <w:tc>
          <w:tcPr>
            <w:tcW w:w="2145" w:type="dxa"/>
            <w:vAlign w:val="center"/>
          </w:tcPr>
          <w:p>
            <w:pPr>
              <w:spacing w:line="230" w:lineRule="exact"/>
              <w:rPr>
                <w:rFonts w:ascii="宋体" w:hAnsi="宋体"/>
                <w:sz w:val="18"/>
                <w:szCs w:val="18"/>
              </w:rPr>
            </w:pPr>
            <w:r>
              <w:rPr>
                <w:rFonts w:hint="eastAsia" w:ascii="宋体" w:hAnsi="宋体"/>
                <w:sz w:val="18"/>
                <w:szCs w:val="18"/>
              </w:rPr>
              <w:t>一般纳税人资格证</w:t>
            </w:r>
          </w:p>
        </w:tc>
        <w:tc>
          <w:tcPr>
            <w:tcW w:w="6573" w:type="dxa"/>
            <w:vAlign w:val="center"/>
          </w:tcPr>
          <w:p>
            <w:pPr>
              <w:spacing w:line="230" w:lineRule="exact"/>
              <w:rPr>
                <w:rFonts w:ascii="宋体" w:hAnsi="宋体"/>
                <w:sz w:val="18"/>
                <w:szCs w:val="18"/>
              </w:rPr>
            </w:pPr>
            <w:r>
              <w:rPr>
                <w:rFonts w:hint="eastAsia" w:ascii="宋体" w:hAnsi="宋体"/>
                <w:sz w:val="18"/>
                <w:szCs w:val="18"/>
              </w:rPr>
              <w:t>有效期内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36" w:type="dxa"/>
            <w:vAlign w:val="center"/>
          </w:tcPr>
          <w:p>
            <w:pPr>
              <w:spacing w:line="230" w:lineRule="exact"/>
              <w:rPr>
                <w:rFonts w:ascii="宋体" w:hAnsi="宋体"/>
                <w:sz w:val="18"/>
                <w:szCs w:val="18"/>
              </w:rPr>
            </w:pPr>
            <w:r>
              <w:rPr>
                <w:rFonts w:hint="eastAsia" w:ascii="宋体" w:hAnsi="宋体"/>
                <w:sz w:val="18"/>
                <w:szCs w:val="18"/>
              </w:rPr>
              <w:t>1.7</w:t>
            </w:r>
          </w:p>
        </w:tc>
        <w:tc>
          <w:tcPr>
            <w:tcW w:w="2145" w:type="dxa"/>
            <w:vAlign w:val="center"/>
          </w:tcPr>
          <w:p>
            <w:pPr>
              <w:spacing w:line="230" w:lineRule="exact"/>
              <w:rPr>
                <w:rFonts w:ascii="宋体" w:hAnsi="宋体"/>
                <w:sz w:val="18"/>
                <w:szCs w:val="18"/>
              </w:rPr>
            </w:pPr>
            <w:r>
              <w:rPr>
                <w:rFonts w:hint="eastAsia" w:ascii="宋体" w:hAnsi="宋体"/>
                <w:sz w:val="18"/>
                <w:szCs w:val="18"/>
              </w:rPr>
              <w:t>开户银行许可证</w:t>
            </w:r>
          </w:p>
        </w:tc>
        <w:tc>
          <w:tcPr>
            <w:tcW w:w="6573" w:type="dxa"/>
            <w:vAlign w:val="center"/>
          </w:tcPr>
          <w:p>
            <w:pPr>
              <w:spacing w:line="230" w:lineRule="exact"/>
              <w:rPr>
                <w:rFonts w:ascii="宋体" w:hAnsi="宋体"/>
                <w:sz w:val="18"/>
                <w:szCs w:val="18"/>
              </w:rPr>
            </w:pPr>
            <w:r>
              <w:rPr>
                <w:rFonts w:hint="eastAsia" w:ascii="宋体" w:hAnsi="宋体"/>
                <w:sz w:val="18"/>
                <w:szCs w:val="18"/>
              </w:rPr>
              <w:t>有效的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9" w:hRule="atLeast"/>
          <w:jc w:val="center"/>
        </w:trPr>
        <w:tc>
          <w:tcPr>
            <w:tcW w:w="636" w:type="dxa"/>
            <w:vAlign w:val="center"/>
          </w:tcPr>
          <w:p>
            <w:pPr>
              <w:spacing w:line="200" w:lineRule="atLeast"/>
              <w:rPr>
                <w:rFonts w:ascii="宋体" w:hAnsi="宋体"/>
                <w:sz w:val="18"/>
                <w:szCs w:val="18"/>
              </w:rPr>
            </w:pPr>
            <w:r>
              <w:rPr>
                <w:rFonts w:hint="eastAsia" w:ascii="宋体" w:hAnsi="宋体"/>
                <w:sz w:val="18"/>
                <w:szCs w:val="18"/>
              </w:rPr>
              <w:t>1.8</w:t>
            </w:r>
          </w:p>
        </w:tc>
        <w:tc>
          <w:tcPr>
            <w:tcW w:w="2145" w:type="dxa"/>
            <w:vAlign w:val="center"/>
          </w:tcPr>
          <w:p>
            <w:pPr>
              <w:spacing w:line="200" w:lineRule="atLeast"/>
              <w:rPr>
                <w:rFonts w:ascii="宋体" w:hAnsi="宋体"/>
                <w:sz w:val="18"/>
                <w:szCs w:val="18"/>
              </w:rPr>
            </w:pPr>
            <w:r>
              <w:rPr>
                <w:rFonts w:hint="eastAsia" w:ascii="宋体" w:hAnsi="宋体"/>
                <w:sz w:val="18"/>
                <w:szCs w:val="18"/>
              </w:rPr>
              <w:t>授权代理书或授权销售证明书</w:t>
            </w:r>
          </w:p>
        </w:tc>
        <w:tc>
          <w:tcPr>
            <w:tcW w:w="6573" w:type="dxa"/>
            <w:vAlign w:val="center"/>
          </w:tcPr>
          <w:p>
            <w:pPr>
              <w:widowControl/>
              <w:spacing w:before="93" w:beforeLines="30" w:after="93" w:afterLines="30" w:line="200" w:lineRule="atLeast"/>
              <w:jc w:val="left"/>
              <w:rPr>
                <w:rFonts w:ascii="宋体" w:hAnsi="宋体"/>
                <w:sz w:val="18"/>
                <w:szCs w:val="18"/>
              </w:rPr>
            </w:pPr>
            <w:r>
              <w:rPr>
                <w:rFonts w:hint="eastAsia" w:ascii="宋体" w:hAnsi="宋体"/>
                <w:sz w:val="18"/>
                <w:szCs w:val="18"/>
              </w:rPr>
              <w:t>与当当合作的供应商或商家如果是代理经销商的，应取得逐级经销企业或生产商的销售授权，以保证销售授权的可追溯性。</w:t>
            </w:r>
          </w:p>
          <w:p>
            <w:pPr>
              <w:widowControl/>
              <w:spacing w:before="93" w:beforeLines="30" w:after="93" w:afterLines="30" w:line="200" w:lineRule="atLeast"/>
              <w:jc w:val="left"/>
              <w:rPr>
                <w:rFonts w:ascii="宋体" w:hAnsi="宋体"/>
                <w:sz w:val="18"/>
                <w:szCs w:val="18"/>
              </w:rPr>
            </w:pPr>
            <w:r>
              <w:rPr>
                <w:rFonts w:hint="eastAsia" w:ascii="宋体" w:hAnsi="宋体"/>
                <w:sz w:val="18"/>
                <w:szCs w:val="18"/>
              </w:rPr>
              <w:t>与当当合作的供应商应提供与当当合作的品牌销售授权书；</w:t>
            </w:r>
          </w:p>
          <w:p>
            <w:pPr>
              <w:widowControl/>
              <w:spacing w:before="93" w:beforeLines="30" w:after="93" w:afterLines="30" w:line="200" w:lineRule="atLeast"/>
              <w:jc w:val="left"/>
              <w:rPr>
                <w:rFonts w:ascii="宋体" w:hAnsi="宋体"/>
                <w:sz w:val="18"/>
                <w:szCs w:val="18"/>
              </w:rPr>
            </w:pPr>
            <w:r>
              <w:rPr>
                <w:rFonts w:hint="eastAsia" w:ascii="宋体" w:hAnsi="宋体"/>
                <w:sz w:val="18"/>
                <w:szCs w:val="18"/>
              </w:rPr>
              <w:t>供应商与当当合作的销售授权书上应列出所有与当当合作的品牌名称、授权期限信息，并签字盖章。</w:t>
            </w:r>
          </w:p>
        </w:tc>
      </w:tr>
    </w:tbl>
    <w:p>
      <w:pPr>
        <w:spacing w:line="230" w:lineRule="exact"/>
        <w:ind w:firstLine="361" w:firstLineChars="200"/>
        <w:rPr>
          <w:rFonts w:ascii="宋体" w:hAnsi="宋体"/>
          <w:b/>
          <w:sz w:val="18"/>
          <w:szCs w:val="18"/>
        </w:rPr>
      </w:pPr>
    </w:p>
    <w:p>
      <w:pPr>
        <w:spacing w:line="230" w:lineRule="exact"/>
        <w:ind w:firstLine="361" w:firstLineChars="200"/>
        <w:rPr>
          <w:rFonts w:ascii="宋体" w:hAnsi="宋体"/>
          <w:b/>
          <w:sz w:val="18"/>
          <w:szCs w:val="18"/>
        </w:rPr>
      </w:pPr>
      <w:r>
        <w:rPr>
          <w:rFonts w:hint="eastAsia" w:ascii="宋体" w:hAnsi="宋体"/>
          <w:b/>
          <w:sz w:val="18"/>
          <w:szCs w:val="18"/>
        </w:rPr>
        <w:t>2.特殊资质证件---特殊商品进店经营所必须提供</w:t>
      </w: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8"/>
        <w:gridCol w:w="2514"/>
        <w:gridCol w:w="6070"/>
      </w:tblGrid>
      <w:tr>
        <w:tblPrEx>
          <w:tblCellMar>
            <w:top w:w="0" w:type="dxa"/>
            <w:left w:w="108" w:type="dxa"/>
            <w:bottom w:w="0" w:type="dxa"/>
            <w:right w:w="108" w:type="dxa"/>
          </w:tblCellMar>
        </w:tblPrEx>
        <w:trPr>
          <w:trHeight w:val="575" w:hRule="atLeast"/>
          <w:jc w:val="center"/>
        </w:trPr>
        <w:tc>
          <w:tcPr>
            <w:tcW w:w="738" w:type="dxa"/>
            <w:vAlign w:val="center"/>
          </w:tcPr>
          <w:p>
            <w:pPr>
              <w:spacing w:line="230" w:lineRule="exact"/>
              <w:rPr>
                <w:rFonts w:ascii="宋体" w:hAnsi="宋体"/>
                <w:b/>
                <w:sz w:val="18"/>
                <w:szCs w:val="18"/>
              </w:rPr>
            </w:pPr>
          </w:p>
        </w:tc>
        <w:tc>
          <w:tcPr>
            <w:tcW w:w="2514" w:type="dxa"/>
            <w:vAlign w:val="center"/>
          </w:tcPr>
          <w:p>
            <w:pPr>
              <w:spacing w:line="230" w:lineRule="exact"/>
              <w:jc w:val="center"/>
              <w:rPr>
                <w:rFonts w:ascii="宋体" w:hAnsi="宋体"/>
                <w:b/>
                <w:sz w:val="18"/>
                <w:szCs w:val="18"/>
              </w:rPr>
            </w:pPr>
            <w:r>
              <w:rPr>
                <w:rFonts w:hint="eastAsia" w:ascii="宋体" w:hAnsi="宋体"/>
                <w:b/>
                <w:sz w:val="18"/>
                <w:szCs w:val="18"/>
              </w:rPr>
              <w:t>证件名称</w:t>
            </w:r>
          </w:p>
        </w:tc>
        <w:tc>
          <w:tcPr>
            <w:tcW w:w="6070" w:type="dxa"/>
            <w:vAlign w:val="center"/>
          </w:tcPr>
          <w:p>
            <w:pPr>
              <w:spacing w:line="230" w:lineRule="exact"/>
              <w:jc w:val="center"/>
              <w:rPr>
                <w:rFonts w:ascii="宋体" w:hAnsi="宋体"/>
                <w:b/>
                <w:sz w:val="18"/>
                <w:szCs w:val="18"/>
              </w:rPr>
            </w:pPr>
            <w:r>
              <w:rPr>
                <w:rFonts w:hint="eastAsia" w:ascii="宋体" w:hAnsi="宋体"/>
                <w:b/>
                <w:sz w:val="18"/>
                <w:szCs w:val="18"/>
              </w:rPr>
              <w:t>涉及商品类别</w:t>
            </w:r>
          </w:p>
        </w:tc>
      </w:tr>
      <w:tr>
        <w:tblPrEx>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2.1</w:t>
            </w:r>
          </w:p>
        </w:tc>
        <w:tc>
          <w:tcPr>
            <w:tcW w:w="2514" w:type="dxa"/>
            <w:vAlign w:val="center"/>
          </w:tcPr>
          <w:p>
            <w:pPr>
              <w:spacing w:line="230" w:lineRule="exact"/>
              <w:rPr>
                <w:rFonts w:ascii="宋体" w:hAnsi="宋体"/>
                <w:sz w:val="18"/>
                <w:szCs w:val="18"/>
              </w:rPr>
            </w:pPr>
            <w:r>
              <w:rPr>
                <w:rFonts w:hint="eastAsia" w:ascii="宋体" w:hAnsi="宋体"/>
                <w:sz w:val="18"/>
                <w:szCs w:val="18"/>
              </w:rPr>
              <w:t>保健食品批准证书</w:t>
            </w:r>
          </w:p>
        </w:tc>
        <w:tc>
          <w:tcPr>
            <w:tcW w:w="6070" w:type="dxa"/>
            <w:vAlign w:val="center"/>
          </w:tcPr>
          <w:p>
            <w:pPr>
              <w:spacing w:line="230" w:lineRule="exact"/>
              <w:rPr>
                <w:rFonts w:ascii="宋体" w:hAnsi="宋体"/>
                <w:sz w:val="18"/>
                <w:szCs w:val="18"/>
              </w:rPr>
            </w:pPr>
            <w:r>
              <w:rPr>
                <w:rFonts w:hint="eastAsia" w:ascii="宋体" w:hAnsi="宋体"/>
                <w:sz w:val="18"/>
                <w:szCs w:val="18"/>
              </w:rPr>
              <w:t>保健食品类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2.2</w:t>
            </w:r>
          </w:p>
        </w:tc>
        <w:tc>
          <w:tcPr>
            <w:tcW w:w="2514" w:type="dxa"/>
            <w:vAlign w:val="center"/>
          </w:tcPr>
          <w:p>
            <w:pPr>
              <w:spacing w:line="230" w:lineRule="exact"/>
              <w:rPr>
                <w:rFonts w:ascii="宋体" w:hAnsi="宋体"/>
                <w:sz w:val="18"/>
                <w:szCs w:val="18"/>
              </w:rPr>
            </w:pPr>
            <w:r>
              <w:rPr>
                <w:rFonts w:hint="eastAsia" w:ascii="宋体" w:hAnsi="宋体"/>
                <w:sz w:val="18"/>
                <w:szCs w:val="18"/>
              </w:rPr>
              <w:t>音像经营许可证</w:t>
            </w:r>
          </w:p>
        </w:tc>
        <w:tc>
          <w:tcPr>
            <w:tcW w:w="6070" w:type="dxa"/>
            <w:vAlign w:val="center"/>
          </w:tcPr>
          <w:p>
            <w:pPr>
              <w:spacing w:line="230" w:lineRule="exact"/>
              <w:rPr>
                <w:rFonts w:ascii="宋体" w:hAnsi="宋体"/>
                <w:sz w:val="18"/>
                <w:szCs w:val="18"/>
              </w:rPr>
            </w:pPr>
            <w:r>
              <w:rPr>
                <w:rFonts w:hint="eastAsia" w:ascii="宋体" w:hAnsi="宋体"/>
                <w:sz w:val="18"/>
                <w:szCs w:val="18"/>
              </w:rPr>
              <w:t>音像制品类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2.3</w:t>
            </w:r>
          </w:p>
        </w:tc>
        <w:tc>
          <w:tcPr>
            <w:tcW w:w="2514" w:type="dxa"/>
            <w:vAlign w:val="center"/>
          </w:tcPr>
          <w:p>
            <w:pPr>
              <w:spacing w:line="230" w:lineRule="exact"/>
              <w:rPr>
                <w:rFonts w:ascii="宋体" w:hAnsi="宋体"/>
                <w:sz w:val="18"/>
                <w:szCs w:val="18"/>
              </w:rPr>
            </w:pPr>
            <w:r>
              <w:rPr>
                <w:rFonts w:hint="eastAsia" w:ascii="宋体" w:hAnsi="宋体"/>
                <w:sz w:val="18"/>
                <w:szCs w:val="18"/>
              </w:rPr>
              <w:t>图书经营许可证</w:t>
            </w:r>
          </w:p>
        </w:tc>
        <w:tc>
          <w:tcPr>
            <w:tcW w:w="6070" w:type="dxa"/>
            <w:vAlign w:val="center"/>
          </w:tcPr>
          <w:p>
            <w:pPr>
              <w:spacing w:line="230" w:lineRule="exact"/>
              <w:rPr>
                <w:rFonts w:ascii="宋体" w:hAnsi="宋体"/>
                <w:sz w:val="18"/>
                <w:szCs w:val="18"/>
              </w:rPr>
            </w:pPr>
            <w:r>
              <w:rPr>
                <w:rFonts w:hint="eastAsia" w:ascii="宋体" w:hAnsi="宋体"/>
                <w:sz w:val="18"/>
                <w:szCs w:val="18"/>
              </w:rPr>
              <w:t>图书制品类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Merge w:val="restart"/>
            <w:vAlign w:val="center"/>
          </w:tcPr>
          <w:p>
            <w:pPr>
              <w:spacing w:line="230" w:lineRule="exact"/>
              <w:rPr>
                <w:rFonts w:ascii="宋体" w:hAnsi="宋体"/>
                <w:sz w:val="18"/>
                <w:szCs w:val="18"/>
              </w:rPr>
            </w:pPr>
            <w:r>
              <w:rPr>
                <w:rFonts w:hint="eastAsia" w:ascii="宋体" w:hAnsi="宋体"/>
                <w:sz w:val="18"/>
                <w:szCs w:val="18"/>
              </w:rPr>
              <w:t>2.4</w:t>
            </w:r>
          </w:p>
        </w:tc>
        <w:tc>
          <w:tcPr>
            <w:tcW w:w="2514" w:type="dxa"/>
            <w:vMerge w:val="restart"/>
            <w:vAlign w:val="center"/>
          </w:tcPr>
          <w:p>
            <w:pPr>
              <w:spacing w:line="230" w:lineRule="exact"/>
              <w:rPr>
                <w:rFonts w:ascii="宋体" w:hAnsi="宋体"/>
                <w:sz w:val="18"/>
                <w:szCs w:val="18"/>
              </w:rPr>
            </w:pPr>
            <w:r>
              <w:rPr>
                <w:rFonts w:hint="eastAsia" w:ascii="宋体" w:hAnsi="宋体"/>
                <w:sz w:val="18"/>
                <w:szCs w:val="18"/>
              </w:rPr>
              <w:t>卫生许可证</w:t>
            </w:r>
          </w:p>
        </w:tc>
        <w:tc>
          <w:tcPr>
            <w:tcW w:w="6070" w:type="dxa"/>
            <w:vAlign w:val="center"/>
          </w:tcPr>
          <w:p>
            <w:pPr>
              <w:spacing w:line="230" w:lineRule="exact"/>
              <w:rPr>
                <w:rFonts w:ascii="宋体" w:hAnsi="宋体"/>
                <w:sz w:val="18"/>
                <w:szCs w:val="18"/>
              </w:rPr>
            </w:pPr>
            <w:r>
              <w:rPr>
                <w:rFonts w:hint="eastAsia" w:ascii="宋体" w:hAnsi="宋体"/>
                <w:sz w:val="18"/>
                <w:szCs w:val="18"/>
              </w:rPr>
              <w:t>所有食品类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Merge w:val="continue"/>
            <w:vAlign w:val="center"/>
          </w:tcPr>
          <w:p>
            <w:pPr>
              <w:spacing w:line="230" w:lineRule="exact"/>
              <w:rPr>
                <w:rFonts w:ascii="宋体" w:hAnsi="宋体"/>
                <w:sz w:val="18"/>
                <w:szCs w:val="18"/>
              </w:rPr>
            </w:pPr>
          </w:p>
        </w:tc>
        <w:tc>
          <w:tcPr>
            <w:tcW w:w="2514" w:type="dxa"/>
            <w:vMerge w:val="continue"/>
            <w:vAlign w:val="center"/>
          </w:tcPr>
          <w:p>
            <w:pPr>
              <w:spacing w:line="230" w:lineRule="exact"/>
              <w:rPr>
                <w:rFonts w:ascii="宋体" w:hAnsi="宋体"/>
                <w:sz w:val="18"/>
                <w:szCs w:val="18"/>
              </w:rPr>
            </w:pPr>
          </w:p>
        </w:tc>
        <w:tc>
          <w:tcPr>
            <w:tcW w:w="6070" w:type="dxa"/>
            <w:vAlign w:val="center"/>
          </w:tcPr>
          <w:p>
            <w:pPr>
              <w:spacing w:line="230" w:lineRule="exact"/>
              <w:rPr>
                <w:rFonts w:ascii="宋体" w:hAnsi="宋体"/>
                <w:sz w:val="18"/>
                <w:szCs w:val="18"/>
              </w:rPr>
            </w:pPr>
            <w:r>
              <w:rPr>
                <w:rFonts w:hint="eastAsia" w:ascii="宋体" w:hAnsi="宋体"/>
                <w:sz w:val="18"/>
                <w:szCs w:val="18"/>
              </w:rPr>
              <w:t>用品类部分商品提供：纸类/美容护肤类/清洁用品类/一次性用品类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Merge w:val="restart"/>
            <w:vAlign w:val="center"/>
          </w:tcPr>
          <w:p>
            <w:pPr>
              <w:spacing w:line="230" w:lineRule="exact"/>
              <w:rPr>
                <w:rFonts w:ascii="宋体" w:hAnsi="宋体"/>
                <w:sz w:val="18"/>
                <w:szCs w:val="18"/>
              </w:rPr>
            </w:pPr>
            <w:r>
              <w:rPr>
                <w:rFonts w:hint="eastAsia" w:ascii="宋体" w:hAnsi="宋体"/>
                <w:sz w:val="18"/>
                <w:szCs w:val="18"/>
              </w:rPr>
              <w:t>2.5</w:t>
            </w:r>
          </w:p>
        </w:tc>
        <w:tc>
          <w:tcPr>
            <w:tcW w:w="2514" w:type="dxa"/>
            <w:vMerge w:val="restart"/>
            <w:vAlign w:val="center"/>
          </w:tcPr>
          <w:p>
            <w:pPr>
              <w:spacing w:line="230" w:lineRule="exact"/>
              <w:rPr>
                <w:rFonts w:ascii="宋体" w:hAnsi="宋体"/>
                <w:sz w:val="18"/>
                <w:szCs w:val="18"/>
              </w:rPr>
            </w:pPr>
            <w:r>
              <w:rPr>
                <w:rFonts w:hint="eastAsia" w:ascii="宋体" w:hAnsi="宋体"/>
                <w:sz w:val="18"/>
                <w:szCs w:val="18"/>
              </w:rPr>
              <w:t>生产许可证</w:t>
            </w:r>
          </w:p>
        </w:tc>
        <w:tc>
          <w:tcPr>
            <w:tcW w:w="6070" w:type="dxa"/>
            <w:vAlign w:val="center"/>
          </w:tcPr>
          <w:p>
            <w:pPr>
              <w:spacing w:line="230" w:lineRule="exact"/>
              <w:rPr>
                <w:rFonts w:ascii="宋体" w:hAnsi="宋体"/>
                <w:sz w:val="18"/>
                <w:szCs w:val="18"/>
              </w:rPr>
            </w:pPr>
            <w:r>
              <w:rPr>
                <w:rFonts w:hint="eastAsia" w:ascii="宋体" w:hAnsi="宋体"/>
                <w:sz w:val="18"/>
                <w:szCs w:val="18"/>
              </w:rPr>
              <w:t>食品类（QS标志）：所有包装食品</w:t>
            </w:r>
          </w:p>
          <w:p>
            <w:pPr>
              <w:spacing w:line="230" w:lineRule="exact"/>
              <w:rPr>
                <w:rFonts w:ascii="宋体" w:hAnsi="宋体"/>
                <w:sz w:val="18"/>
                <w:szCs w:val="18"/>
              </w:rPr>
            </w:pPr>
            <w:r>
              <w:rPr>
                <w:rFonts w:hint="eastAsia" w:ascii="宋体" w:hAnsi="宋体"/>
                <w:sz w:val="18"/>
                <w:szCs w:val="18"/>
              </w:rPr>
              <w:t>食品生产许可证：婴幼儿配方奶粉/白酒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Merge w:val="continue"/>
            <w:vAlign w:val="center"/>
          </w:tcPr>
          <w:p>
            <w:pPr>
              <w:spacing w:line="230" w:lineRule="exact"/>
              <w:rPr>
                <w:rFonts w:ascii="宋体" w:hAnsi="宋体"/>
                <w:sz w:val="18"/>
                <w:szCs w:val="18"/>
              </w:rPr>
            </w:pPr>
          </w:p>
        </w:tc>
        <w:tc>
          <w:tcPr>
            <w:tcW w:w="2514" w:type="dxa"/>
            <w:vMerge w:val="continue"/>
            <w:vAlign w:val="center"/>
          </w:tcPr>
          <w:p>
            <w:pPr>
              <w:spacing w:line="230" w:lineRule="exact"/>
              <w:rPr>
                <w:rFonts w:ascii="宋体" w:hAnsi="宋体"/>
                <w:sz w:val="18"/>
                <w:szCs w:val="18"/>
              </w:rPr>
            </w:pPr>
          </w:p>
        </w:tc>
        <w:tc>
          <w:tcPr>
            <w:tcW w:w="6070" w:type="dxa"/>
            <w:vAlign w:val="center"/>
          </w:tcPr>
          <w:p>
            <w:pPr>
              <w:spacing w:line="230" w:lineRule="exact"/>
              <w:rPr>
                <w:rFonts w:ascii="宋体" w:hAnsi="宋体"/>
                <w:sz w:val="18"/>
                <w:szCs w:val="18"/>
              </w:rPr>
            </w:pPr>
            <w:r>
              <w:rPr>
                <w:rFonts w:hint="eastAsia" w:ascii="宋体" w:hAnsi="宋体"/>
                <w:sz w:val="18"/>
                <w:szCs w:val="18"/>
              </w:rPr>
              <w:t>用品类：助力自行车/电热毯/压力锅/化妆品/餐具洗涤剂/特种劳动保护用品（安全帽）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2.6</w:t>
            </w:r>
          </w:p>
        </w:tc>
        <w:tc>
          <w:tcPr>
            <w:tcW w:w="2514" w:type="dxa"/>
            <w:vAlign w:val="center"/>
          </w:tcPr>
          <w:p>
            <w:pPr>
              <w:spacing w:line="230" w:lineRule="exact"/>
              <w:rPr>
                <w:rFonts w:ascii="宋体" w:hAnsi="宋体"/>
                <w:sz w:val="18"/>
                <w:szCs w:val="18"/>
              </w:rPr>
            </w:pPr>
            <w:r>
              <w:rPr>
                <w:rFonts w:hint="eastAsia" w:ascii="宋体" w:hAnsi="宋体"/>
                <w:sz w:val="18"/>
                <w:szCs w:val="18"/>
              </w:rPr>
              <w:t>邮电部入网证</w:t>
            </w:r>
          </w:p>
        </w:tc>
        <w:tc>
          <w:tcPr>
            <w:tcW w:w="6070" w:type="dxa"/>
            <w:vAlign w:val="center"/>
          </w:tcPr>
          <w:p>
            <w:pPr>
              <w:spacing w:line="230" w:lineRule="exact"/>
              <w:rPr>
                <w:rFonts w:ascii="宋体" w:hAnsi="宋体"/>
                <w:sz w:val="18"/>
                <w:szCs w:val="18"/>
              </w:rPr>
            </w:pPr>
            <w:r>
              <w:rPr>
                <w:rFonts w:hint="eastAsia" w:ascii="宋体" w:hAnsi="宋体"/>
                <w:sz w:val="18"/>
                <w:szCs w:val="18"/>
              </w:rPr>
              <w:t>电话机/传真机类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2.7</w:t>
            </w:r>
          </w:p>
        </w:tc>
        <w:tc>
          <w:tcPr>
            <w:tcW w:w="2514" w:type="dxa"/>
            <w:vAlign w:val="center"/>
          </w:tcPr>
          <w:p>
            <w:pPr>
              <w:spacing w:line="230" w:lineRule="exact"/>
              <w:rPr>
                <w:rFonts w:ascii="宋体" w:hAnsi="宋体"/>
                <w:sz w:val="18"/>
                <w:szCs w:val="18"/>
              </w:rPr>
            </w:pPr>
            <w:r>
              <w:rPr>
                <w:rFonts w:hint="eastAsia" w:ascii="宋体" w:hAnsi="宋体"/>
                <w:sz w:val="18"/>
                <w:szCs w:val="18"/>
              </w:rPr>
              <w:t>中国国家强制性商品认证证书（CCC）</w:t>
            </w:r>
          </w:p>
        </w:tc>
        <w:tc>
          <w:tcPr>
            <w:tcW w:w="6070" w:type="dxa"/>
            <w:vAlign w:val="center"/>
          </w:tcPr>
          <w:p>
            <w:pPr>
              <w:spacing w:line="230" w:lineRule="exact"/>
              <w:rPr>
                <w:rFonts w:ascii="宋体" w:hAnsi="宋体"/>
                <w:sz w:val="18"/>
                <w:szCs w:val="18"/>
              </w:rPr>
            </w:pPr>
            <w:r>
              <w:rPr>
                <w:rFonts w:hint="eastAsia" w:ascii="宋体" w:hAnsi="宋体"/>
                <w:sz w:val="18"/>
                <w:szCs w:val="18"/>
              </w:rPr>
              <w:t>插头插座/开关/电动工具/电冰箱和商品冷冻箱/电风扇/空调器/家用电动洗衣机/电热水器/室内加热器/真空吸尘器/皮肤和毛发护理器具/电熨斗/电磁灶/电烤箱/电动食品加工器具/微波炉/电灶 灶台 烤炉和类似器具/吸油烟机/液体加热器和冷暖饮水机/电饭锅/音视频设备/信息技术设备/照明设备/电信终端设备/乳胶制品(橡胶避孕套)/儿童玩具/婴儿安全座椅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2.8</w:t>
            </w:r>
          </w:p>
        </w:tc>
        <w:tc>
          <w:tcPr>
            <w:tcW w:w="2514" w:type="dxa"/>
            <w:vAlign w:val="center"/>
          </w:tcPr>
          <w:p>
            <w:pPr>
              <w:spacing w:line="230" w:lineRule="exact"/>
              <w:rPr>
                <w:rFonts w:ascii="宋体" w:hAnsi="宋体"/>
                <w:sz w:val="18"/>
                <w:szCs w:val="18"/>
              </w:rPr>
            </w:pPr>
            <w:r>
              <w:rPr>
                <w:rFonts w:hint="eastAsia" w:ascii="宋体" w:hAnsi="宋体"/>
                <w:sz w:val="18"/>
                <w:szCs w:val="18"/>
              </w:rPr>
              <w:t>化妆品卫生审核备案证明</w:t>
            </w:r>
          </w:p>
        </w:tc>
        <w:tc>
          <w:tcPr>
            <w:tcW w:w="6070" w:type="dxa"/>
            <w:vAlign w:val="center"/>
          </w:tcPr>
          <w:p>
            <w:pPr>
              <w:spacing w:line="230" w:lineRule="exact"/>
              <w:rPr>
                <w:rFonts w:ascii="宋体" w:hAnsi="宋体"/>
                <w:sz w:val="18"/>
                <w:szCs w:val="18"/>
              </w:rPr>
            </w:pPr>
            <w:r>
              <w:rPr>
                <w:rFonts w:hint="eastAsia" w:ascii="宋体" w:hAnsi="宋体"/>
                <w:sz w:val="18"/>
                <w:szCs w:val="18"/>
              </w:rPr>
              <w:t>国产非特殊用途化妆品类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2.9</w:t>
            </w:r>
          </w:p>
        </w:tc>
        <w:tc>
          <w:tcPr>
            <w:tcW w:w="2514" w:type="dxa"/>
            <w:vAlign w:val="center"/>
          </w:tcPr>
          <w:p>
            <w:pPr>
              <w:spacing w:line="230" w:lineRule="exact"/>
              <w:rPr>
                <w:rFonts w:ascii="宋体" w:hAnsi="宋体"/>
                <w:sz w:val="18"/>
                <w:szCs w:val="18"/>
              </w:rPr>
            </w:pPr>
            <w:r>
              <w:rPr>
                <w:rFonts w:hint="eastAsia" w:ascii="宋体" w:hAnsi="宋体"/>
                <w:sz w:val="18"/>
                <w:szCs w:val="18"/>
              </w:rPr>
              <w:t>国产特殊用途化妆品卫生许可批件</w:t>
            </w:r>
          </w:p>
        </w:tc>
        <w:tc>
          <w:tcPr>
            <w:tcW w:w="6070" w:type="dxa"/>
            <w:vAlign w:val="center"/>
          </w:tcPr>
          <w:p>
            <w:pPr>
              <w:spacing w:line="230" w:lineRule="exact"/>
              <w:rPr>
                <w:rFonts w:ascii="宋体" w:hAnsi="宋体"/>
                <w:sz w:val="18"/>
                <w:szCs w:val="18"/>
              </w:rPr>
            </w:pPr>
            <w:r>
              <w:rPr>
                <w:rFonts w:hint="eastAsia" w:ascii="宋体" w:hAnsi="宋体"/>
                <w:sz w:val="18"/>
                <w:szCs w:val="18"/>
              </w:rPr>
              <w:t>化妆品类（染发/烫发/祛斑/防晒/美乳/苗条/生发等）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2.10</w:t>
            </w:r>
          </w:p>
        </w:tc>
        <w:tc>
          <w:tcPr>
            <w:tcW w:w="2514" w:type="dxa"/>
            <w:vAlign w:val="center"/>
          </w:tcPr>
          <w:p>
            <w:pPr>
              <w:spacing w:line="230" w:lineRule="exact"/>
              <w:rPr>
                <w:rFonts w:ascii="宋体" w:hAnsi="宋体"/>
                <w:sz w:val="18"/>
                <w:szCs w:val="18"/>
              </w:rPr>
            </w:pPr>
            <w:r>
              <w:rPr>
                <w:rFonts w:hint="eastAsia" w:ascii="宋体" w:hAnsi="宋体"/>
                <w:sz w:val="18"/>
                <w:szCs w:val="18"/>
              </w:rPr>
              <w:t>进口化妆品卫生许可批件</w:t>
            </w:r>
          </w:p>
        </w:tc>
        <w:tc>
          <w:tcPr>
            <w:tcW w:w="6070" w:type="dxa"/>
            <w:vAlign w:val="center"/>
          </w:tcPr>
          <w:p>
            <w:pPr>
              <w:spacing w:line="230" w:lineRule="exact"/>
              <w:rPr>
                <w:rFonts w:ascii="宋体" w:hAnsi="宋体"/>
                <w:sz w:val="18"/>
                <w:szCs w:val="18"/>
              </w:rPr>
            </w:pPr>
            <w:r>
              <w:rPr>
                <w:rFonts w:hint="eastAsia" w:ascii="宋体" w:hAnsi="宋体"/>
                <w:sz w:val="18"/>
                <w:szCs w:val="18"/>
              </w:rPr>
              <w:t>进口化妆品类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2.11</w:t>
            </w:r>
          </w:p>
        </w:tc>
        <w:tc>
          <w:tcPr>
            <w:tcW w:w="2514" w:type="dxa"/>
            <w:vAlign w:val="center"/>
          </w:tcPr>
          <w:p>
            <w:pPr>
              <w:spacing w:line="230" w:lineRule="exact"/>
              <w:rPr>
                <w:rFonts w:ascii="宋体" w:hAnsi="宋体"/>
                <w:sz w:val="18"/>
                <w:szCs w:val="18"/>
              </w:rPr>
            </w:pPr>
            <w:r>
              <w:rPr>
                <w:rFonts w:hint="eastAsia" w:ascii="宋体" w:hAnsi="宋体"/>
                <w:sz w:val="18"/>
                <w:szCs w:val="18"/>
              </w:rPr>
              <w:t>国产消毒药剂和消毒器械卫生许可批件</w:t>
            </w:r>
          </w:p>
        </w:tc>
        <w:tc>
          <w:tcPr>
            <w:tcW w:w="6070" w:type="dxa"/>
            <w:vAlign w:val="center"/>
          </w:tcPr>
          <w:p>
            <w:pPr>
              <w:spacing w:line="230" w:lineRule="exact"/>
              <w:rPr>
                <w:rFonts w:ascii="宋体" w:hAnsi="宋体"/>
                <w:sz w:val="18"/>
                <w:szCs w:val="18"/>
              </w:rPr>
            </w:pPr>
            <w:r>
              <w:rPr>
                <w:rFonts w:hint="eastAsia" w:ascii="宋体" w:hAnsi="宋体"/>
                <w:sz w:val="18"/>
                <w:szCs w:val="18"/>
              </w:rPr>
              <w:t>清洁用品类（消毒剂/洗洁精等）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2.12</w:t>
            </w:r>
          </w:p>
        </w:tc>
        <w:tc>
          <w:tcPr>
            <w:tcW w:w="2514" w:type="dxa"/>
            <w:vAlign w:val="center"/>
          </w:tcPr>
          <w:p>
            <w:pPr>
              <w:spacing w:line="230" w:lineRule="exact"/>
              <w:rPr>
                <w:rFonts w:ascii="宋体" w:hAnsi="宋体"/>
                <w:sz w:val="18"/>
                <w:szCs w:val="18"/>
              </w:rPr>
            </w:pPr>
            <w:r>
              <w:rPr>
                <w:rFonts w:hint="eastAsia" w:ascii="宋体" w:hAnsi="宋体"/>
                <w:sz w:val="18"/>
                <w:szCs w:val="18"/>
              </w:rPr>
              <w:t>在京销售一次性使用医疗卫生用品审核登记备案证明</w:t>
            </w:r>
          </w:p>
        </w:tc>
        <w:tc>
          <w:tcPr>
            <w:tcW w:w="6070" w:type="dxa"/>
            <w:vAlign w:val="center"/>
          </w:tcPr>
          <w:p>
            <w:pPr>
              <w:spacing w:line="230" w:lineRule="exact"/>
              <w:rPr>
                <w:rFonts w:ascii="宋体" w:hAnsi="宋体"/>
                <w:sz w:val="18"/>
                <w:szCs w:val="18"/>
              </w:rPr>
            </w:pPr>
            <w:r>
              <w:rPr>
                <w:rFonts w:hint="eastAsia" w:ascii="宋体" w:hAnsi="宋体"/>
                <w:sz w:val="18"/>
                <w:szCs w:val="18"/>
              </w:rPr>
              <w:t>卫生用品类（纸类/卫生棉/化妆棉等）；急救用品(绷带/纱布等)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2.13</w:t>
            </w:r>
          </w:p>
        </w:tc>
        <w:tc>
          <w:tcPr>
            <w:tcW w:w="2514" w:type="dxa"/>
            <w:vAlign w:val="center"/>
          </w:tcPr>
          <w:p>
            <w:pPr>
              <w:spacing w:line="230" w:lineRule="exact"/>
              <w:rPr>
                <w:rFonts w:ascii="宋体" w:hAnsi="宋体"/>
                <w:sz w:val="18"/>
                <w:szCs w:val="18"/>
              </w:rPr>
            </w:pPr>
            <w:r>
              <w:rPr>
                <w:rFonts w:hint="eastAsia" w:ascii="宋体" w:hAnsi="宋体"/>
                <w:sz w:val="18"/>
                <w:szCs w:val="18"/>
              </w:rPr>
              <w:t>出入境检验检疫卫生证书</w:t>
            </w:r>
          </w:p>
        </w:tc>
        <w:tc>
          <w:tcPr>
            <w:tcW w:w="6070" w:type="dxa"/>
            <w:vAlign w:val="center"/>
          </w:tcPr>
          <w:p>
            <w:pPr>
              <w:spacing w:line="230" w:lineRule="exact"/>
              <w:rPr>
                <w:rFonts w:ascii="宋体" w:hAnsi="宋体"/>
                <w:sz w:val="18"/>
                <w:szCs w:val="18"/>
              </w:rPr>
            </w:pPr>
            <w:r>
              <w:rPr>
                <w:rFonts w:hint="eastAsia" w:ascii="宋体" w:hAnsi="宋体"/>
                <w:sz w:val="18"/>
                <w:szCs w:val="18"/>
              </w:rPr>
              <w:t>进口食品类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2.14</w:t>
            </w:r>
          </w:p>
        </w:tc>
        <w:tc>
          <w:tcPr>
            <w:tcW w:w="2514" w:type="dxa"/>
            <w:vAlign w:val="center"/>
          </w:tcPr>
          <w:p>
            <w:pPr>
              <w:spacing w:line="230" w:lineRule="exact"/>
              <w:rPr>
                <w:rFonts w:ascii="宋体" w:hAnsi="宋体"/>
                <w:sz w:val="18"/>
                <w:szCs w:val="18"/>
              </w:rPr>
            </w:pPr>
            <w:r>
              <w:rPr>
                <w:rFonts w:hint="eastAsia" w:ascii="宋体" w:hAnsi="宋体"/>
                <w:sz w:val="18"/>
                <w:szCs w:val="18"/>
              </w:rPr>
              <w:t>进口商品报关单</w:t>
            </w:r>
          </w:p>
        </w:tc>
        <w:tc>
          <w:tcPr>
            <w:tcW w:w="6070" w:type="dxa"/>
            <w:vAlign w:val="center"/>
          </w:tcPr>
          <w:p>
            <w:pPr>
              <w:spacing w:line="230" w:lineRule="exact"/>
              <w:rPr>
                <w:rFonts w:ascii="宋体" w:hAnsi="宋体"/>
                <w:sz w:val="18"/>
                <w:szCs w:val="18"/>
              </w:rPr>
            </w:pPr>
            <w:r>
              <w:rPr>
                <w:rFonts w:hint="eastAsia" w:ascii="宋体" w:hAnsi="宋体"/>
                <w:sz w:val="18"/>
                <w:szCs w:val="18"/>
              </w:rPr>
              <w:t>进口商品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2.15</w:t>
            </w:r>
          </w:p>
        </w:tc>
        <w:tc>
          <w:tcPr>
            <w:tcW w:w="2514" w:type="dxa"/>
            <w:vAlign w:val="center"/>
          </w:tcPr>
          <w:p>
            <w:pPr>
              <w:spacing w:line="230" w:lineRule="exact"/>
              <w:rPr>
                <w:rFonts w:ascii="宋体" w:hAnsi="宋体"/>
                <w:sz w:val="18"/>
                <w:szCs w:val="18"/>
              </w:rPr>
            </w:pPr>
            <w:r>
              <w:rPr>
                <w:rFonts w:hint="eastAsia" w:ascii="宋体" w:hAnsi="宋体"/>
                <w:sz w:val="18"/>
                <w:szCs w:val="18"/>
              </w:rPr>
              <w:t>绿色食品证书</w:t>
            </w:r>
          </w:p>
        </w:tc>
        <w:tc>
          <w:tcPr>
            <w:tcW w:w="6070" w:type="dxa"/>
            <w:vAlign w:val="center"/>
          </w:tcPr>
          <w:p>
            <w:pPr>
              <w:spacing w:line="230" w:lineRule="exact"/>
              <w:rPr>
                <w:rFonts w:ascii="宋体" w:hAnsi="宋体"/>
                <w:sz w:val="18"/>
                <w:szCs w:val="18"/>
              </w:rPr>
            </w:pPr>
            <w:r>
              <w:rPr>
                <w:rFonts w:hint="eastAsia" w:ascii="宋体" w:hAnsi="宋体"/>
                <w:sz w:val="18"/>
                <w:szCs w:val="18"/>
              </w:rPr>
              <w:t>经国家相关部门认证并在包装物上注明此项认证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2.16</w:t>
            </w:r>
          </w:p>
        </w:tc>
        <w:tc>
          <w:tcPr>
            <w:tcW w:w="2514" w:type="dxa"/>
            <w:vAlign w:val="center"/>
          </w:tcPr>
          <w:p>
            <w:pPr>
              <w:spacing w:line="230" w:lineRule="exact"/>
              <w:rPr>
                <w:rFonts w:ascii="宋体" w:hAnsi="宋体"/>
                <w:sz w:val="18"/>
                <w:szCs w:val="18"/>
              </w:rPr>
            </w:pPr>
            <w:r>
              <w:rPr>
                <w:rFonts w:hint="eastAsia" w:ascii="宋体" w:hAnsi="宋体"/>
                <w:sz w:val="18"/>
                <w:szCs w:val="18"/>
              </w:rPr>
              <w:t>无公害农商品认证证书</w:t>
            </w:r>
          </w:p>
        </w:tc>
        <w:tc>
          <w:tcPr>
            <w:tcW w:w="6070" w:type="dxa"/>
            <w:vAlign w:val="center"/>
          </w:tcPr>
          <w:p>
            <w:pPr>
              <w:spacing w:line="230" w:lineRule="exact"/>
              <w:rPr>
                <w:rFonts w:ascii="宋体" w:hAnsi="宋体"/>
                <w:sz w:val="18"/>
                <w:szCs w:val="18"/>
              </w:rPr>
            </w:pPr>
            <w:r>
              <w:rPr>
                <w:rFonts w:hint="eastAsia" w:ascii="宋体" w:hAnsi="宋体"/>
                <w:sz w:val="18"/>
                <w:szCs w:val="18"/>
              </w:rPr>
              <w:t>经国家相关部门认证并在包装物上注明此项认证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2.17</w:t>
            </w:r>
          </w:p>
        </w:tc>
        <w:tc>
          <w:tcPr>
            <w:tcW w:w="2514" w:type="dxa"/>
            <w:vAlign w:val="center"/>
          </w:tcPr>
          <w:p>
            <w:pPr>
              <w:spacing w:line="230" w:lineRule="exact"/>
              <w:rPr>
                <w:rFonts w:ascii="宋体" w:hAnsi="宋体"/>
                <w:sz w:val="18"/>
                <w:szCs w:val="18"/>
              </w:rPr>
            </w:pPr>
            <w:r>
              <w:rPr>
                <w:rFonts w:hint="eastAsia" w:ascii="宋体" w:hAnsi="宋体"/>
                <w:sz w:val="18"/>
                <w:szCs w:val="18"/>
              </w:rPr>
              <w:t>有机食品认证证书</w:t>
            </w:r>
          </w:p>
        </w:tc>
        <w:tc>
          <w:tcPr>
            <w:tcW w:w="6070" w:type="dxa"/>
            <w:vAlign w:val="center"/>
          </w:tcPr>
          <w:p>
            <w:pPr>
              <w:spacing w:line="230" w:lineRule="exact"/>
              <w:rPr>
                <w:rFonts w:ascii="宋体" w:hAnsi="宋体"/>
                <w:sz w:val="18"/>
                <w:szCs w:val="18"/>
              </w:rPr>
            </w:pPr>
            <w:r>
              <w:rPr>
                <w:rFonts w:hint="eastAsia" w:ascii="宋体" w:hAnsi="宋体"/>
                <w:sz w:val="18"/>
                <w:szCs w:val="18"/>
              </w:rPr>
              <w:t>经国家相关部门认证并在包装物上注明此项认证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8" w:type="dxa"/>
            <w:vAlign w:val="center"/>
          </w:tcPr>
          <w:p>
            <w:pPr>
              <w:spacing w:line="230" w:lineRule="exact"/>
              <w:rPr>
                <w:rFonts w:ascii="宋体" w:hAnsi="宋体"/>
                <w:sz w:val="18"/>
                <w:szCs w:val="18"/>
              </w:rPr>
            </w:pPr>
            <w:r>
              <w:rPr>
                <w:rFonts w:hint="eastAsia" w:ascii="宋体" w:hAnsi="宋体"/>
                <w:sz w:val="18"/>
                <w:szCs w:val="18"/>
              </w:rPr>
              <w:t>2.18</w:t>
            </w:r>
          </w:p>
        </w:tc>
        <w:tc>
          <w:tcPr>
            <w:tcW w:w="2514" w:type="dxa"/>
            <w:vAlign w:val="center"/>
          </w:tcPr>
          <w:p>
            <w:pPr>
              <w:spacing w:line="230" w:lineRule="exact"/>
              <w:rPr>
                <w:rFonts w:ascii="宋体" w:hAnsi="宋体"/>
                <w:sz w:val="18"/>
                <w:szCs w:val="18"/>
              </w:rPr>
            </w:pPr>
            <w:r>
              <w:rPr>
                <w:rFonts w:hint="eastAsia" w:ascii="宋体" w:hAnsi="宋体"/>
                <w:sz w:val="18"/>
                <w:szCs w:val="18"/>
              </w:rPr>
              <w:t>各类荣誉证书</w:t>
            </w:r>
          </w:p>
        </w:tc>
        <w:tc>
          <w:tcPr>
            <w:tcW w:w="6070" w:type="dxa"/>
            <w:vAlign w:val="center"/>
          </w:tcPr>
          <w:p>
            <w:pPr>
              <w:spacing w:line="230" w:lineRule="exact"/>
              <w:rPr>
                <w:rFonts w:ascii="宋体" w:hAnsi="宋体"/>
                <w:sz w:val="18"/>
                <w:szCs w:val="18"/>
              </w:rPr>
            </w:pPr>
            <w:r>
              <w:rPr>
                <w:rFonts w:hint="eastAsia" w:ascii="宋体" w:hAnsi="宋体"/>
                <w:sz w:val="18"/>
                <w:szCs w:val="18"/>
              </w:rPr>
              <w:t>包装物上注明的各类荣誉称号的相应证书</w:t>
            </w:r>
          </w:p>
        </w:tc>
      </w:tr>
    </w:tbl>
    <w:p>
      <w:pPr>
        <w:spacing w:line="360" w:lineRule="exact"/>
        <w:rPr>
          <w:rFonts w:ascii="宋体" w:hAnsi="宋体"/>
          <w:b/>
          <w:szCs w:val="21"/>
        </w:rPr>
      </w:pPr>
      <w:r>
        <w:rPr>
          <w:rFonts w:hint="eastAsia" w:ascii="宋体" w:hAnsi="宋体"/>
          <w:b/>
          <w:szCs w:val="21"/>
        </w:rPr>
        <w:t>（签字页）</w:t>
      </w:r>
    </w:p>
    <w:p>
      <w:pPr>
        <w:spacing w:line="360" w:lineRule="exact"/>
        <w:jc w:val="left"/>
        <w:rPr>
          <w:rFonts w:ascii="宋体" w:hAnsi="宋体"/>
          <w:b/>
          <w:szCs w:val="21"/>
        </w:rPr>
      </w:pPr>
    </w:p>
    <w:p>
      <w:pPr>
        <w:spacing w:line="360" w:lineRule="exact"/>
        <w:ind w:firstLine="413" w:firstLineChars="196"/>
        <w:jc w:val="left"/>
        <w:rPr>
          <w:rFonts w:ascii="宋体" w:hAnsi="宋体"/>
          <w:b/>
          <w:kern w:val="0"/>
          <w:szCs w:val="21"/>
        </w:rPr>
      </w:pPr>
      <w:r>
        <w:rPr>
          <w:rFonts w:hint="eastAsia" w:ascii="宋体" w:hAnsi="宋体"/>
          <w:b/>
          <w:szCs w:val="21"/>
        </w:rPr>
        <w:t>双方已仔细阅读</w:t>
      </w:r>
      <w:r>
        <w:rPr>
          <w:rFonts w:hint="eastAsia" w:ascii="宋体" w:hAnsi="宋体"/>
          <w:b/>
          <w:kern w:val="0"/>
          <w:szCs w:val="21"/>
        </w:rPr>
        <w:t>《当当网商户技术服务协议》及其附件，双方同意遵守以上约定，并签字盖章确认：</w:t>
      </w:r>
    </w:p>
    <w:p>
      <w:pPr>
        <w:spacing w:line="360" w:lineRule="exact"/>
        <w:jc w:val="left"/>
        <w:rPr>
          <w:rFonts w:ascii="宋体" w:hAnsi="宋体"/>
          <w:b/>
          <w:szCs w:val="21"/>
        </w:rPr>
      </w:pPr>
    </w:p>
    <w:p>
      <w:pPr>
        <w:spacing w:line="360" w:lineRule="exact"/>
        <w:jc w:val="left"/>
        <w:rPr>
          <w:rFonts w:ascii="宋体" w:hAnsi="宋体"/>
          <w:b/>
          <w:szCs w:val="21"/>
        </w:rPr>
      </w:pPr>
    </w:p>
    <w:tbl>
      <w:tblPr>
        <w:tblStyle w:val="14"/>
        <w:tblW w:w="0" w:type="auto"/>
        <w:tblInd w:w="108" w:type="dxa"/>
        <w:tblLayout w:type="fixed"/>
        <w:tblCellMar>
          <w:top w:w="0" w:type="dxa"/>
          <w:left w:w="108" w:type="dxa"/>
          <w:bottom w:w="0" w:type="dxa"/>
          <w:right w:w="108" w:type="dxa"/>
        </w:tblCellMar>
      </w:tblPr>
      <w:tblGrid>
        <w:gridCol w:w="5387"/>
        <w:gridCol w:w="4756"/>
      </w:tblGrid>
      <w:tr>
        <w:tblPrEx>
          <w:tblCellMar>
            <w:top w:w="0" w:type="dxa"/>
            <w:left w:w="108" w:type="dxa"/>
            <w:bottom w:w="0" w:type="dxa"/>
            <w:right w:w="108" w:type="dxa"/>
          </w:tblCellMar>
        </w:tblPrEx>
        <w:tc>
          <w:tcPr>
            <w:tcW w:w="5387" w:type="dxa"/>
          </w:tcPr>
          <w:p>
            <w:pPr>
              <w:spacing w:line="360" w:lineRule="exact"/>
              <w:ind w:left="-269" w:leftChars="-128" w:firstLine="315" w:firstLineChars="150"/>
              <w:rPr>
                <w:rFonts w:ascii="宋体" w:hAnsi="宋体"/>
                <w:kern w:val="0"/>
                <w:szCs w:val="21"/>
              </w:rPr>
            </w:pPr>
            <w:r>
              <w:rPr>
                <w:rFonts w:hint="eastAsia" w:ascii="宋体" w:hAnsi="宋体"/>
                <w:kern w:val="0"/>
                <w:szCs w:val="21"/>
              </w:rPr>
              <w:t>当当网：</w:t>
            </w:r>
            <w:r>
              <w:rPr>
                <w:rFonts w:ascii="宋体" w:hAnsi="宋体"/>
                <w:kern w:val="0"/>
                <w:szCs w:val="21"/>
              </w:rPr>
              <w:t xml:space="preserve"> </w:t>
            </w:r>
          </w:p>
        </w:tc>
        <w:tc>
          <w:tcPr>
            <w:tcW w:w="4756" w:type="dxa"/>
          </w:tcPr>
          <w:p>
            <w:pPr>
              <w:spacing w:line="360" w:lineRule="exact"/>
              <w:ind w:left="-269" w:leftChars="-128" w:firstLine="315" w:firstLineChars="150"/>
              <w:rPr>
                <w:rFonts w:ascii="宋体" w:hAnsi="宋体"/>
                <w:kern w:val="0"/>
                <w:szCs w:val="21"/>
              </w:rPr>
            </w:pPr>
            <w:r>
              <w:rPr>
                <w:rFonts w:hint="eastAsia" w:ascii="宋体" w:hAnsi="宋体"/>
                <w:kern w:val="0"/>
                <w:szCs w:val="21"/>
              </w:rPr>
              <w:t>商户：</w:t>
            </w:r>
          </w:p>
        </w:tc>
      </w:tr>
      <w:tr>
        <w:tblPrEx>
          <w:tblCellMar>
            <w:top w:w="0" w:type="dxa"/>
            <w:left w:w="108" w:type="dxa"/>
            <w:bottom w:w="0" w:type="dxa"/>
            <w:right w:w="108" w:type="dxa"/>
          </w:tblCellMar>
        </w:tblPrEx>
        <w:tc>
          <w:tcPr>
            <w:tcW w:w="5387" w:type="dxa"/>
          </w:tcPr>
          <w:p>
            <w:pPr>
              <w:spacing w:line="360" w:lineRule="exact"/>
              <w:ind w:left="1096" w:leftChars="22" w:hanging="1050" w:hangingChars="500"/>
              <w:rPr>
                <w:rFonts w:ascii="宋体" w:hAnsi="宋体"/>
                <w:b/>
                <w:kern w:val="0"/>
                <w:szCs w:val="21"/>
              </w:rPr>
            </w:pPr>
            <w:r>
              <w:rPr>
                <w:rFonts w:hint="eastAsia" w:ascii="宋体" w:hAnsi="宋体"/>
                <w:kern w:val="0"/>
                <w:szCs w:val="21"/>
              </w:rPr>
              <w:t>联系地址：</w:t>
            </w:r>
          </w:p>
        </w:tc>
        <w:tc>
          <w:tcPr>
            <w:tcW w:w="4756" w:type="dxa"/>
          </w:tcPr>
          <w:p>
            <w:pPr>
              <w:spacing w:line="360" w:lineRule="exact"/>
              <w:ind w:left="-269" w:leftChars="-128" w:firstLine="315" w:firstLineChars="150"/>
              <w:rPr>
                <w:rFonts w:ascii="宋体" w:hAnsi="宋体"/>
                <w:b/>
                <w:kern w:val="0"/>
                <w:szCs w:val="21"/>
              </w:rPr>
            </w:pPr>
            <w:r>
              <w:rPr>
                <w:rFonts w:hint="eastAsia" w:ascii="宋体" w:hAnsi="宋体"/>
                <w:kern w:val="0"/>
                <w:szCs w:val="21"/>
              </w:rPr>
              <w:t>联系地址：</w:t>
            </w:r>
          </w:p>
        </w:tc>
      </w:tr>
      <w:tr>
        <w:tblPrEx>
          <w:tblCellMar>
            <w:top w:w="0" w:type="dxa"/>
            <w:left w:w="108" w:type="dxa"/>
            <w:bottom w:w="0" w:type="dxa"/>
            <w:right w:w="108" w:type="dxa"/>
          </w:tblCellMar>
        </w:tblPrEx>
        <w:tc>
          <w:tcPr>
            <w:tcW w:w="5387" w:type="dxa"/>
          </w:tcPr>
          <w:p>
            <w:pPr>
              <w:spacing w:line="360" w:lineRule="exact"/>
              <w:ind w:left="-269" w:leftChars="-128" w:firstLine="315" w:firstLineChars="150"/>
              <w:rPr>
                <w:rFonts w:ascii="宋体" w:hAnsi="宋体"/>
                <w:kern w:val="0"/>
                <w:szCs w:val="21"/>
              </w:rPr>
            </w:pPr>
            <w:r>
              <w:rPr>
                <w:rFonts w:hint="eastAsia" w:ascii="宋体" w:hAnsi="宋体"/>
                <w:kern w:val="0"/>
                <w:szCs w:val="21"/>
              </w:rPr>
              <w:t>联系人：</w:t>
            </w:r>
          </w:p>
          <w:p>
            <w:pPr>
              <w:spacing w:line="360" w:lineRule="exact"/>
              <w:ind w:left="-269" w:leftChars="-128" w:firstLine="315" w:firstLineChars="150"/>
              <w:rPr>
                <w:rFonts w:ascii="宋体" w:hAnsi="宋体"/>
                <w:b/>
                <w:kern w:val="0"/>
                <w:szCs w:val="21"/>
              </w:rPr>
            </w:pPr>
            <w:r>
              <w:rPr>
                <w:rFonts w:hint="eastAsia" w:ascii="宋体" w:hAnsi="宋体"/>
                <w:kern w:val="0"/>
                <w:szCs w:val="21"/>
              </w:rPr>
              <w:t>邮编：</w:t>
            </w:r>
          </w:p>
        </w:tc>
        <w:tc>
          <w:tcPr>
            <w:tcW w:w="4756" w:type="dxa"/>
          </w:tcPr>
          <w:p>
            <w:pPr>
              <w:spacing w:line="360" w:lineRule="exact"/>
              <w:ind w:left="-269" w:leftChars="-128" w:firstLine="315" w:firstLineChars="150"/>
              <w:rPr>
                <w:rFonts w:ascii="宋体" w:hAnsi="宋体"/>
                <w:kern w:val="0"/>
                <w:szCs w:val="21"/>
              </w:rPr>
            </w:pPr>
            <w:r>
              <w:rPr>
                <w:rFonts w:hint="eastAsia" w:ascii="宋体" w:hAnsi="宋体"/>
                <w:kern w:val="0"/>
                <w:szCs w:val="21"/>
              </w:rPr>
              <w:t>联系人：</w:t>
            </w:r>
          </w:p>
          <w:p>
            <w:pPr>
              <w:spacing w:line="360" w:lineRule="exact"/>
              <w:ind w:left="-269" w:leftChars="-128" w:firstLine="315" w:firstLineChars="150"/>
              <w:rPr>
                <w:rFonts w:ascii="宋体" w:hAnsi="宋体"/>
                <w:b/>
                <w:kern w:val="0"/>
                <w:szCs w:val="21"/>
              </w:rPr>
            </w:pPr>
            <w:r>
              <w:rPr>
                <w:rFonts w:hint="eastAsia" w:ascii="宋体" w:hAnsi="宋体"/>
                <w:kern w:val="0"/>
                <w:szCs w:val="21"/>
              </w:rPr>
              <w:t>邮编：</w:t>
            </w:r>
          </w:p>
        </w:tc>
      </w:tr>
      <w:tr>
        <w:tblPrEx>
          <w:tblCellMar>
            <w:top w:w="0" w:type="dxa"/>
            <w:left w:w="108" w:type="dxa"/>
            <w:bottom w:w="0" w:type="dxa"/>
            <w:right w:w="108" w:type="dxa"/>
          </w:tblCellMar>
        </w:tblPrEx>
        <w:tc>
          <w:tcPr>
            <w:tcW w:w="5387" w:type="dxa"/>
          </w:tcPr>
          <w:p>
            <w:pPr>
              <w:spacing w:line="360" w:lineRule="exact"/>
              <w:ind w:left="-269" w:leftChars="-128" w:firstLine="315" w:firstLineChars="150"/>
              <w:rPr>
                <w:rFonts w:ascii="宋体" w:hAnsi="宋体"/>
                <w:b/>
                <w:kern w:val="0"/>
                <w:szCs w:val="21"/>
              </w:rPr>
            </w:pPr>
            <w:r>
              <w:rPr>
                <w:rFonts w:hint="eastAsia" w:ascii="宋体" w:hAnsi="宋体"/>
                <w:kern w:val="0"/>
                <w:szCs w:val="21"/>
              </w:rPr>
              <w:t>电话：</w:t>
            </w:r>
          </w:p>
        </w:tc>
        <w:tc>
          <w:tcPr>
            <w:tcW w:w="4756" w:type="dxa"/>
          </w:tcPr>
          <w:p>
            <w:pPr>
              <w:spacing w:line="360" w:lineRule="exact"/>
              <w:ind w:left="-269" w:leftChars="-128" w:firstLine="315" w:firstLineChars="150"/>
              <w:rPr>
                <w:rFonts w:ascii="宋体" w:hAnsi="宋体"/>
                <w:b/>
                <w:kern w:val="0"/>
                <w:szCs w:val="21"/>
              </w:rPr>
            </w:pPr>
            <w:r>
              <w:rPr>
                <w:rFonts w:hint="eastAsia" w:ascii="宋体" w:hAnsi="宋体"/>
                <w:kern w:val="0"/>
                <w:szCs w:val="21"/>
              </w:rPr>
              <w:t>电话：</w:t>
            </w:r>
          </w:p>
        </w:tc>
      </w:tr>
      <w:tr>
        <w:tblPrEx>
          <w:tblCellMar>
            <w:top w:w="0" w:type="dxa"/>
            <w:left w:w="108" w:type="dxa"/>
            <w:bottom w:w="0" w:type="dxa"/>
            <w:right w:w="108" w:type="dxa"/>
          </w:tblCellMar>
        </w:tblPrEx>
        <w:tc>
          <w:tcPr>
            <w:tcW w:w="5387" w:type="dxa"/>
          </w:tcPr>
          <w:p>
            <w:pPr>
              <w:spacing w:line="360" w:lineRule="exact"/>
              <w:ind w:left="-269" w:leftChars="-128" w:firstLine="315" w:firstLineChars="150"/>
              <w:rPr>
                <w:rFonts w:ascii="宋体" w:hAnsi="宋体"/>
                <w:kern w:val="0"/>
                <w:szCs w:val="21"/>
              </w:rPr>
            </w:pPr>
            <w:r>
              <w:rPr>
                <w:rFonts w:hint="eastAsia" w:ascii="宋体" w:hAnsi="宋体"/>
                <w:kern w:val="0"/>
                <w:szCs w:val="21"/>
              </w:rPr>
              <w:t>授权代理人：</w:t>
            </w:r>
          </w:p>
        </w:tc>
        <w:tc>
          <w:tcPr>
            <w:tcW w:w="4756" w:type="dxa"/>
          </w:tcPr>
          <w:p>
            <w:pPr>
              <w:spacing w:line="360" w:lineRule="exact"/>
              <w:ind w:left="-269" w:leftChars="-128" w:firstLine="315" w:firstLineChars="150"/>
              <w:rPr>
                <w:rFonts w:ascii="宋体" w:hAnsi="宋体"/>
                <w:kern w:val="0"/>
                <w:szCs w:val="21"/>
              </w:rPr>
            </w:pPr>
            <w:r>
              <w:rPr>
                <w:rFonts w:hint="eastAsia" w:ascii="宋体" w:hAnsi="宋体"/>
                <w:kern w:val="0"/>
                <w:szCs w:val="21"/>
              </w:rPr>
              <w:t>授权代理人：</w:t>
            </w:r>
          </w:p>
        </w:tc>
      </w:tr>
    </w:tbl>
    <w:p>
      <w:pPr>
        <w:spacing w:line="360" w:lineRule="exact"/>
        <w:jc w:val="center"/>
        <w:rPr>
          <w:rFonts w:ascii="宋体" w:hAnsi="宋体"/>
          <w:szCs w:val="21"/>
        </w:rPr>
      </w:pPr>
    </w:p>
    <w:p>
      <w:pPr>
        <w:spacing w:line="360" w:lineRule="exact"/>
        <w:ind w:firstLine="5462" w:firstLineChars="2591"/>
        <w:rPr>
          <w:rFonts w:ascii="宋体" w:hAnsi="宋体"/>
          <w:b/>
          <w:szCs w:val="21"/>
        </w:rPr>
      </w:pPr>
      <w:r>
        <w:rPr>
          <w:rFonts w:hint="eastAsia" w:ascii="宋体" w:hAnsi="宋体"/>
          <w:b/>
          <w:szCs w:val="21"/>
        </w:rPr>
        <w:t>签订地点：北京市东城区</w:t>
      </w:r>
    </w:p>
    <w:p>
      <w:pPr>
        <w:spacing w:line="360" w:lineRule="exact"/>
        <w:ind w:left="1140" w:firstLine="420" w:firstLineChars="200"/>
        <w:rPr>
          <w:rFonts w:ascii="宋体" w:hAnsi="宋体"/>
          <w:szCs w:val="21"/>
        </w:rPr>
      </w:pPr>
    </w:p>
    <w:p/>
    <w:sectPr>
      <w:headerReference r:id="rId5" w:type="first"/>
      <w:headerReference r:id="rId3" w:type="default"/>
      <w:footerReference r:id="rId6" w:type="default"/>
      <w:headerReference r:id="rId4" w:type="even"/>
      <w:pgSz w:w="11906" w:h="16838"/>
      <w:pgMar w:top="709" w:right="1080" w:bottom="567" w:left="108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Fonts w:hint="eastAsia"/>
        <w:kern w:val="0"/>
      </w:rPr>
      <w:t>第</w:t>
    </w:r>
    <w:r>
      <w:rPr>
        <w:kern w:val="0"/>
      </w:rPr>
      <w:fldChar w:fldCharType="begin"/>
    </w:r>
    <w:r>
      <w:rPr>
        <w:kern w:val="0"/>
      </w:rPr>
      <w:instrText xml:space="preserve"> PAGE </w:instrText>
    </w:r>
    <w:r>
      <w:rPr>
        <w:kern w:val="0"/>
      </w:rPr>
      <w:fldChar w:fldCharType="separate"/>
    </w:r>
    <w:r>
      <w:rPr>
        <w:kern w:val="0"/>
      </w:rPr>
      <w:t>- 1 -</w:t>
    </w:r>
    <w:r>
      <w:rPr>
        <w:kern w:val="0"/>
      </w:rPr>
      <w:fldChar w:fldCharType="end"/>
    </w:r>
    <w:r>
      <w:rPr>
        <w:rFonts w:hint="eastAsia"/>
        <w:kern w:val="0"/>
      </w:rPr>
      <w:t>页共</w:t>
    </w:r>
    <w:r>
      <w:rPr>
        <w:kern w:val="0"/>
      </w:rPr>
      <w:fldChar w:fldCharType="begin"/>
    </w:r>
    <w:r>
      <w:rPr>
        <w:kern w:val="0"/>
      </w:rPr>
      <w:instrText xml:space="preserve"> NUMPAGES </w:instrText>
    </w:r>
    <w:r>
      <w:rPr>
        <w:kern w:val="0"/>
      </w:rPr>
      <w:fldChar w:fldCharType="separate"/>
    </w:r>
    <w:r>
      <w:rPr>
        <w:kern w:val="0"/>
      </w:rPr>
      <w:t>24</w:t>
    </w:r>
    <w:r>
      <w:rPr>
        <w:kern w:val="0"/>
      </w:rPr>
      <w:fldChar w:fldCharType="end"/>
    </w:r>
    <w:r>
      <w:rPr>
        <w:rFonts w:hint="eastAsia"/>
        <w:kern w:val="0"/>
      </w:rPr>
      <w:t>页</w:t>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WordPictureWatermark29989478" o:spid="_x0000_s4098" o:spt="75" type="#_x0000_t75" style="position:absolute;left:0pt;height:361.3pt;width:487.2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20101021041153236"/>
          <o:lock v:ext="edit" aspectratio="t"/>
        </v:shape>
      </w:pict>
    </w:r>
    <w:r>
      <w:rPr>
        <w:rFonts w:hint="eastAsia"/>
      </w:rPr>
      <w:t xml:space="preserve"> </w:t>
    </w:r>
    <w:r>
      <w:t xml:space="preserve">                                                                                            </w:t>
    </w:r>
    <w:r>
      <w:rPr>
        <w:rFonts w:hint="eastAsia"/>
      </w:rPr>
      <w:t>2019年11月版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WordPictureWatermark29989477" o:spid="_x0000_s4099" o:spt="75" type="#_x0000_t75" style="position:absolute;left:0pt;height:361.3pt;width:487.2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20101021041153236"/>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WordPictureWatermark29989476" o:spid="_x0000_s4097" o:spt="75" type="#_x0000_t75" style="position:absolute;left:0pt;height:361.3pt;width:487.2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20101021041153236"/>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A"/>
    <w:multiLevelType w:val="multilevel"/>
    <w:tmpl w:val="0000002A"/>
    <w:lvl w:ilvl="0" w:tentative="0">
      <w:start w:val="1"/>
      <w:numFmt w:val="decimal"/>
      <w:lvlText w:val="%1"/>
      <w:lvlJc w:val="left"/>
      <w:pPr>
        <w:ind w:left="425" w:hanging="425"/>
      </w:pPr>
    </w:lvl>
    <w:lvl w:ilvl="1" w:tentative="0">
      <w:start w:val="1"/>
      <w:numFmt w:val="decimal"/>
      <w:lvlText w:val="%1.%2"/>
      <w:lvlJc w:val="left"/>
      <w:pPr>
        <w:ind w:left="992" w:hanging="567"/>
      </w:pPr>
      <w:rPr>
        <w:b/>
        <w:sz w:val="18"/>
        <w:szCs w:val="18"/>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8DF"/>
    <w:rsid w:val="000355F6"/>
    <w:rsid w:val="0004584D"/>
    <w:rsid w:val="000607A1"/>
    <w:rsid w:val="00066019"/>
    <w:rsid w:val="00071AB0"/>
    <w:rsid w:val="00073425"/>
    <w:rsid w:val="00082AA6"/>
    <w:rsid w:val="000830F7"/>
    <w:rsid w:val="0008371C"/>
    <w:rsid w:val="00094E09"/>
    <w:rsid w:val="000A2D53"/>
    <w:rsid w:val="000A5B28"/>
    <w:rsid w:val="000B0FCF"/>
    <w:rsid w:val="000C2696"/>
    <w:rsid w:val="000E3088"/>
    <w:rsid w:val="000E4D4A"/>
    <w:rsid w:val="000F06DC"/>
    <w:rsid w:val="0010583B"/>
    <w:rsid w:val="001114D3"/>
    <w:rsid w:val="0013262D"/>
    <w:rsid w:val="00146131"/>
    <w:rsid w:val="00147016"/>
    <w:rsid w:val="001471EB"/>
    <w:rsid w:val="00147D10"/>
    <w:rsid w:val="001529C1"/>
    <w:rsid w:val="001657D4"/>
    <w:rsid w:val="00182625"/>
    <w:rsid w:val="0018500A"/>
    <w:rsid w:val="00193C1F"/>
    <w:rsid w:val="001A77D4"/>
    <w:rsid w:val="001C400F"/>
    <w:rsid w:val="001D6017"/>
    <w:rsid w:val="00206B2A"/>
    <w:rsid w:val="00213A0F"/>
    <w:rsid w:val="00220356"/>
    <w:rsid w:val="002361A4"/>
    <w:rsid w:val="00236F95"/>
    <w:rsid w:val="00240DB1"/>
    <w:rsid w:val="0024438E"/>
    <w:rsid w:val="00257946"/>
    <w:rsid w:val="00265B38"/>
    <w:rsid w:val="002A2345"/>
    <w:rsid w:val="002B576D"/>
    <w:rsid w:val="002C7860"/>
    <w:rsid w:val="002D320F"/>
    <w:rsid w:val="002F2220"/>
    <w:rsid w:val="002F7F87"/>
    <w:rsid w:val="0031500F"/>
    <w:rsid w:val="0032538E"/>
    <w:rsid w:val="003271AE"/>
    <w:rsid w:val="00331C85"/>
    <w:rsid w:val="0034026E"/>
    <w:rsid w:val="0034329F"/>
    <w:rsid w:val="00344D6B"/>
    <w:rsid w:val="00350F66"/>
    <w:rsid w:val="00362B23"/>
    <w:rsid w:val="00363598"/>
    <w:rsid w:val="00384240"/>
    <w:rsid w:val="00386D16"/>
    <w:rsid w:val="0039492B"/>
    <w:rsid w:val="003A1AF6"/>
    <w:rsid w:val="003B59E0"/>
    <w:rsid w:val="003C34F8"/>
    <w:rsid w:val="003C46BC"/>
    <w:rsid w:val="003E663B"/>
    <w:rsid w:val="003E7112"/>
    <w:rsid w:val="00404FF3"/>
    <w:rsid w:val="004513A9"/>
    <w:rsid w:val="00455DF1"/>
    <w:rsid w:val="00470221"/>
    <w:rsid w:val="00482924"/>
    <w:rsid w:val="0049256F"/>
    <w:rsid w:val="004957DB"/>
    <w:rsid w:val="004B7ED9"/>
    <w:rsid w:val="004D7AB6"/>
    <w:rsid w:val="004F588C"/>
    <w:rsid w:val="00517C4A"/>
    <w:rsid w:val="005651A2"/>
    <w:rsid w:val="005822C5"/>
    <w:rsid w:val="00593858"/>
    <w:rsid w:val="005A5A08"/>
    <w:rsid w:val="005E28DF"/>
    <w:rsid w:val="00646E04"/>
    <w:rsid w:val="00686D02"/>
    <w:rsid w:val="006A2C92"/>
    <w:rsid w:val="006E0F75"/>
    <w:rsid w:val="006E7426"/>
    <w:rsid w:val="006F1FB3"/>
    <w:rsid w:val="007114A9"/>
    <w:rsid w:val="00715678"/>
    <w:rsid w:val="007222BC"/>
    <w:rsid w:val="00732994"/>
    <w:rsid w:val="00733344"/>
    <w:rsid w:val="007467D0"/>
    <w:rsid w:val="00762173"/>
    <w:rsid w:val="00765AA3"/>
    <w:rsid w:val="007B23B2"/>
    <w:rsid w:val="007B5D25"/>
    <w:rsid w:val="007C056D"/>
    <w:rsid w:val="007C2CB1"/>
    <w:rsid w:val="007C3E64"/>
    <w:rsid w:val="007F33D1"/>
    <w:rsid w:val="00811B8E"/>
    <w:rsid w:val="008413DB"/>
    <w:rsid w:val="00850F40"/>
    <w:rsid w:val="008560D1"/>
    <w:rsid w:val="00860559"/>
    <w:rsid w:val="00863BF9"/>
    <w:rsid w:val="008854E4"/>
    <w:rsid w:val="008866B6"/>
    <w:rsid w:val="008A5887"/>
    <w:rsid w:val="008C0387"/>
    <w:rsid w:val="008C0E0B"/>
    <w:rsid w:val="008C58C1"/>
    <w:rsid w:val="008F230B"/>
    <w:rsid w:val="00901E52"/>
    <w:rsid w:val="00931A23"/>
    <w:rsid w:val="00964C8D"/>
    <w:rsid w:val="009725EF"/>
    <w:rsid w:val="009A0A03"/>
    <w:rsid w:val="009A28E4"/>
    <w:rsid w:val="009C40B4"/>
    <w:rsid w:val="009C6170"/>
    <w:rsid w:val="009D77A6"/>
    <w:rsid w:val="009F1282"/>
    <w:rsid w:val="009F5930"/>
    <w:rsid w:val="00A0373F"/>
    <w:rsid w:val="00A040FB"/>
    <w:rsid w:val="00A21949"/>
    <w:rsid w:val="00A334D4"/>
    <w:rsid w:val="00A415BE"/>
    <w:rsid w:val="00A43EBA"/>
    <w:rsid w:val="00A643BF"/>
    <w:rsid w:val="00A72552"/>
    <w:rsid w:val="00A73682"/>
    <w:rsid w:val="00AA20FD"/>
    <w:rsid w:val="00AA257E"/>
    <w:rsid w:val="00AA7852"/>
    <w:rsid w:val="00AC46F5"/>
    <w:rsid w:val="00AD2EB9"/>
    <w:rsid w:val="00AD5A3B"/>
    <w:rsid w:val="00AD7E1F"/>
    <w:rsid w:val="00B07B04"/>
    <w:rsid w:val="00B12EA2"/>
    <w:rsid w:val="00B20B70"/>
    <w:rsid w:val="00B3556F"/>
    <w:rsid w:val="00B43CF5"/>
    <w:rsid w:val="00B441BE"/>
    <w:rsid w:val="00B5014D"/>
    <w:rsid w:val="00B738A4"/>
    <w:rsid w:val="00B81C06"/>
    <w:rsid w:val="00B946ED"/>
    <w:rsid w:val="00BC3C37"/>
    <w:rsid w:val="00BC4F08"/>
    <w:rsid w:val="00BE2465"/>
    <w:rsid w:val="00BE5C0A"/>
    <w:rsid w:val="00C06E50"/>
    <w:rsid w:val="00C10C71"/>
    <w:rsid w:val="00C11538"/>
    <w:rsid w:val="00C35538"/>
    <w:rsid w:val="00C36ADA"/>
    <w:rsid w:val="00C55708"/>
    <w:rsid w:val="00CB3D2E"/>
    <w:rsid w:val="00D02B2D"/>
    <w:rsid w:val="00D103E8"/>
    <w:rsid w:val="00D10F14"/>
    <w:rsid w:val="00D376AC"/>
    <w:rsid w:val="00D66154"/>
    <w:rsid w:val="00DF40D4"/>
    <w:rsid w:val="00E04019"/>
    <w:rsid w:val="00E35AC9"/>
    <w:rsid w:val="00E44C47"/>
    <w:rsid w:val="00E524C9"/>
    <w:rsid w:val="00E62176"/>
    <w:rsid w:val="00E741C5"/>
    <w:rsid w:val="00EA004B"/>
    <w:rsid w:val="00EA2878"/>
    <w:rsid w:val="00EB1605"/>
    <w:rsid w:val="00EB4EC5"/>
    <w:rsid w:val="00ED2C81"/>
    <w:rsid w:val="00ED3C09"/>
    <w:rsid w:val="00EE5350"/>
    <w:rsid w:val="00F01651"/>
    <w:rsid w:val="00F0534C"/>
    <w:rsid w:val="00F1340D"/>
    <w:rsid w:val="00F17964"/>
    <w:rsid w:val="00F214AF"/>
    <w:rsid w:val="00F27F4A"/>
    <w:rsid w:val="00F33F3B"/>
    <w:rsid w:val="00F67826"/>
    <w:rsid w:val="00F7083F"/>
    <w:rsid w:val="00F93693"/>
    <w:rsid w:val="00FA0094"/>
    <w:rsid w:val="4CC3509B"/>
    <w:rsid w:val="5B8E248C"/>
    <w:rsid w:val="6A5843D0"/>
    <w:rsid w:val="6E151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19"/>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20"/>
    <w:qFormat/>
    <w:uiPriority w:val="0"/>
    <w:pPr>
      <w:keepNext/>
      <w:keepLines/>
      <w:spacing w:line="360" w:lineRule="auto"/>
      <w:ind w:left="420" w:hanging="420"/>
      <w:outlineLvl w:val="1"/>
    </w:pPr>
    <w:rPr>
      <w:rFonts w:ascii="宋体" w:hAnsi="宋体"/>
      <w:b/>
      <w:kern w:val="0"/>
      <w:sz w:val="24"/>
      <w:szCs w:val="24"/>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8"/>
    <w:uiPriority w:val="0"/>
    <w:pPr>
      <w:shd w:val="clear" w:color="auto" w:fill="000080"/>
    </w:pPr>
  </w:style>
  <w:style w:type="paragraph" w:styleId="5">
    <w:name w:val="annotation text"/>
    <w:basedOn w:val="1"/>
    <w:link w:val="23"/>
    <w:qFormat/>
    <w:uiPriority w:val="99"/>
    <w:pPr>
      <w:jc w:val="left"/>
    </w:pPr>
    <w:rPr>
      <w:rFonts w:asciiTheme="minorHAnsi" w:hAnsiTheme="minorHAnsi" w:eastAsiaTheme="minorEastAsia" w:cstheme="minorBidi"/>
      <w:szCs w:val="22"/>
    </w:rPr>
  </w:style>
  <w:style w:type="paragraph" w:styleId="6">
    <w:name w:val="Date"/>
    <w:basedOn w:val="1"/>
    <w:next w:val="1"/>
    <w:link w:val="35"/>
    <w:semiHidden/>
    <w:unhideWhenUsed/>
    <w:qFormat/>
    <w:uiPriority w:val="99"/>
    <w:pPr>
      <w:ind w:left="100" w:leftChars="2500"/>
    </w:pPr>
  </w:style>
  <w:style w:type="paragraph" w:styleId="7">
    <w:name w:val="Balloon Text"/>
    <w:basedOn w:val="1"/>
    <w:link w:val="31"/>
    <w:qFormat/>
    <w:uiPriority w:val="0"/>
    <w:rPr>
      <w:sz w:val="18"/>
    </w:rPr>
  </w:style>
  <w:style w:type="paragraph" w:styleId="8">
    <w:name w:val="footer"/>
    <w:basedOn w:val="1"/>
    <w:link w:val="30"/>
    <w:qFormat/>
    <w:uiPriority w:val="0"/>
    <w:pPr>
      <w:tabs>
        <w:tab w:val="center" w:pos="4153"/>
        <w:tab w:val="right" w:pos="8306"/>
      </w:tabs>
      <w:snapToGrid w:val="0"/>
      <w:jc w:val="left"/>
    </w:pPr>
    <w:rPr>
      <w:sz w:val="18"/>
    </w:rPr>
  </w:style>
  <w:style w:type="paragraph" w:styleId="9">
    <w:name w:val="header"/>
    <w:basedOn w:val="1"/>
    <w:link w:val="27"/>
    <w:qFormat/>
    <w:uiPriority w:val="0"/>
    <w:pPr>
      <w:pBdr>
        <w:bottom w:val="single" w:color="auto" w:sz="6" w:space="1"/>
      </w:pBdr>
      <w:tabs>
        <w:tab w:val="center" w:pos="4153"/>
        <w:tab w:val="right" w:pos="8306"/>
      </w:tabs>
      <w:snapToGrid w:val="0"/>
      <w:jc w:val="center"/>
    </w:pPr>
    <w:rPr>
      <w:sz w:val="18"/>
    </w:rPr>
  </w:style>
  <w:style w:type="paragraph" w:styleId="10">
    <w:name w:val="Subtitle"/>
    <w:basedOn w:val="1"/>
    <w:next w:val="1"/>
    <w:link w:val="21"/>
    <w:qFormat/>
    <w:uiPriority w:val="0"/>
    <w:pPr>
      <w:spacing w:before="240" w:after="60" w:line="312" w:lineRule="auto"/>
      <w:jc w:val="center"/>
      <w:outlineLvl w:val="1"/>
    </w:pPr>
    <w:rPr>
      <w:rFonts w:ascii="Cambria" w:hAnsi="Cambria" w:eastAsiaTheme="minorEastAsia"/>
      <w:b/>
      <w:bCs/>
      <w:kern w:val="28"/>
      <w:sz w:val="32"/>
      <w:szCs w:val="32"/>
    </w:rPr>
  </w:style>
  <w:style w:type="paragraph" w:styleId="11">
    <w:name w:val="Body Text 2"/>
    <w:basedOn w:val="1"/>
    <w:link w:val="29"/>
    <w:uiPriority w:val="0"/>
    <w:pPr>
      <w:tabs>
        <w:tab w:val="left" w:pos="1080"/>
      </w:tabs>
      <w:spacing w:after="120" w:line="480" w:lineRule="auto"/>
      <w:ind w:left="709" w:hanging="709"/>
    </w:pPr>
    <w:rPr>
      <w:sz w:val="28"/>
    </w:rPr>
  </w:style>
  <w:style w:type="paragraph" w:styleId="12">
    <w:name w:val="Title"/>
    <w:basedOn w:val="1"/>
    <w:next w:val="1"/>
    <w:link w:val="36"/>
    <w:qFormat/>
    <w:uiPriority w:val="10"/>
    <w:pPr>
      <w:spacing w:before="240" w:after="60"/>
      <w:jc w:val="center"/>
      <w:outlineLvl w:val="0"/>
    </w:pPr>
    <w:rPr>
      <w:rFonts w:asciiTheme="majorHAnsi" w:hAnsiTheme="majorHAnsi" w:eastAsiaTheme="majorEastAsia" w:cstheme="majorBidi"/>
      <w:b/>
      <w:bCs/>
      <w:sz w:val="32"/>
      <w:szCs w:val="32"/>
    </w:rPr>
  </w:style>
  <w:style w:type="paragraph" w:styleId="13">
    <w:name w:val="annotation subject"/>
    <w:basedOn w:val="5"/>
    <w:next w:val="5"/>
    <w:link w:val="25"/>
    <w:uiPriority w:val="99"/>
  </w:style>
  <w:style w:type="character" w:styleId="16">
    <w:name w:val="page number"/>
    <w:basedOn w:val="15"/>
    <w:qFormat/>
    <w:uiPriority w:val="0"/>
  </w:style>
  <w:style w:type="character" w:styleId="17">
    <w:name w:val="Hyperlink"/>
    <w:basedOn w:val="15"/>
    <w:qFormat/>
    <w:uiPriority w:val="99"/>
    <w:rPr>
      <w:color w:val="0000FF"/>
      <w:u w:val="single"/>
    </w:rPr>
  </w:style>
  <w:style w:type="character" w:styleId="18">
    <w:name w:val="annotation reference"/>
    <w:basedOn w:val="15"/>
    <w:qFormat/>
    <w:uiPriority w:val="99"/>
    <w:rPr>
      <w:sz w:val="21"/>
    </w:rPr>
  </w:style>
  <w:style w:type="character" w:customStyle="1" w:styleId="19">
    <w:name w:val="标题 1 Char"/>
    <w:basedOn w:val="15"/>
    <w:link w:val="2"/>
    <w:qFormat/>
    <w:uiPriority w:val="0"/>
    <w:rPr>
      <w:rFonts w:ascii="Times New Roman" w:hAnsi="Times New Roman" w:eastAsia="宋体" w:cs="Times New Roman"/>
      <w:b/>
      <w:bCs/>
      <w:kern w:val="44"/>
      <w:sz w:val="44"/>
      <w:szCs w:val="44"/>
    </w:rPr>
  </w:style>
  <w:style w:type="character" w:customStyle="1" w:styleId="20">
    <w:name w:val="标题 2 Char"/>
    <w:basedOn w:val="15"/>
    <w:link w:val="3"/>
    <w:qFormat/>
    <w:uiPriority w:val="0"/>
    <w:rPr>
      <w:rFonts w:ascii="宋体" w:hAnsi="宋体" w:eastAsia="宋体" w:cs="Times New Roman"/>
      <w:b/>
      <w:kern w:val="0"/>
      <w:sz w:val="24"/>
      <w:szCs w:val="24"/>
    </w:rPr>
  </w:style>
  <w:style w:type="character" w:customStyle="1" w:styleId="21">
    <w:name w:val="副标题 Char"/>
    <w:basedOn w:val="15"/>
    <w:link w:val="10"/>
    <w:qFormat/>
    <w:uiPriority w:val="0"/>
    <w:rPr>
      <w:rFonts w:ascii="Cambria" w:hAnsi="Cambria" w:cs="Times New Roman"/>
      <w:b/>
      <w:bCs/>
      <w:kern w:val="28"/>
      <w:sz w:val="32"/>
      <w:szCs w:val="32"/>
    </w:rPr>
  </w:style>
  <w:style w:type="character" w:customStyle="1" w:styleId="22">
    <w:name w:val="副标题 Char1"/>
    <w:basedOn w:val="15"/>
    <w:qFormat/>
    <w:uiPriority w:val="11"/>
    <w:rPr>
      <w:rFonts w:eastAsia="宋体" w:asciiTheme="majorHAnsi" w:hAnsiTheme="majorHAnsi" w:cstheme="majorBidi"/>
      <w:b/>
      <w:bCs/>
      <w:kern w:val="28"/>
      <w:sz w:val="32"/>
      <w:szCs w:val="32"/>
    </w:rPr>
  </w:style>
  <w:style w:type="character" w:customStyle="1" w:styleId="23">
    <w:name w:val="批注文字 Char"/>
    <w:basedOn w:val="15"/>
    <w:link w:val="5"/>
    <w:uiPriority w:val="99"/>
  </w:style>
  <w:style w:type="character" w:customStyle="1" w:styleId="24">
    <w:name w:val="批注文字 Char1"/>
    <w:basedOn w:val="15"/>
    <w:semiHidden/>
    <w:uiPriority w:val="99"/>
    <w:rPr>
      <w:rFonts w:ascii="Times New Roman" w:hAnsi="Times New Roman" w:eastAsia="宋体" w:cs="Times New Roman"/>
      <w:szCs w:val="20"/>
    </w:rPr>
  </w:style>
  <w:style w:type="character" w:customStyle="1" w:styleId="25">
    <w:name w:val="批注主题 Char"/>
    <w:basedOn w:val="23"/>
    <w:link w:val="13"/>
    <w:uiPriority w:val="99"/>
  </w:style>
  <w:style w:type="character" w:customStyle="1" w:styleId="26">
    <w:name w:val="批注主题 Char1"/>
    <w:basedOn w:val="24"/>
    <w:semiHidden/>
    <w:uiPriority w:val="99"/>
    <w:rPr>
      <w:rFonts w:ascii="Times New Roman" w:hAnsi="Times New Roman" w:eastAsia="宋体" w:cs="Times New Roman"/>
      <w:b/>
      <w:bCs/>
      <w:szCs w:val="20"/>
    </w:rPr>
  </w:style>
  <w:style w:type="character" w:customStyle="1" w:styleId="27">
    <w:name w:val="页眉 Char"/>
    <w:basedOn w:val="15"/>
    <w:link w:val="9"/>
    <w:qFormat/>
    <w:uiPriority w:val="0"/>
    <w:rPr>
      <w:rFonts w:ascii="Times New Roman" w:hAnsi="Times New Roman" w:eastAsia="宋体" w:cs="Times New Roman"/>
      <w:sz w:val="18"/>
      <w:szCs w:val="20"/>
    </w:rPr>
  </w:style>
  <w:style w:type="character" w:customStyle="1" w:styleId="28">
    <w:name w:val="文档结构图 Char"/>
    <w:basedOn w:val="15"/>
    <w:link w:val="4"/>
    <w:uiPriority w:val="0"/>
    <w:rPr>
      <w:rFonts w:ascii="Times New Roman" w:hAnsi="Times New Roman" w:eastAsia="宋体" w:cs="Times New Roman"/>
      <w:szCs w:val="20"/>
      <w:shd w:val="clear" w:color="auto" w:fill="000080"/>
    </w:rPr>
  </w:style>
  <w:style w:type="character" w:customStyle="1" w:styleId="29">
    <w:name w:val="正文文本 2 Char"/>
    <w:basedOn w:val="15"/>
    <w:link w:val="11"/>
    <w:qFormat/>
    <w:uiPriority w:val="0"/>
    <w:rPr>
      <w:rFonts w:ascii="Times New Roman" w:hAnsi="Times New Roman" w:eastAsia="宋体" w:cs="Times New Roman"/>
      <w:sz w:val="28"/>
      <w:szCs w:val="20"/>
    </w:rPr>
  </w:style>
  <w:style w:type="character" w:customStyle="1" w:styleId="30">
    <w:name w:val="页脚 Char"/>
    <w:basedOn w:val="15"/>
    <w:link w:val="8"/>
    <w:qFormat/>
    <w:uiPriority w:val="0"/>
    <w:rPr>
      <w:rFonts w:ascii="Times New Roman" w:hAnsi="Times New Roman" w:eastAsia="宋体" w:cs="Times New Roman"/>
      <w:sz w:val="18"/>
      <w:szCs w:val="20"/>
    </w:rPr>
  </w:style>
  <w:style w:type="character" w:customStyle="1" w:styleId="31">
    <w:name w:val="批注框文本 Char"/>
    <w:basedOn w:val="15"/>
    <w:link w:val="7"/>
    <w:qFormat/>
    <w:uiPriority w:val="0"/>
    <w:rPr>
      <w:rFonts w:ascii="Times New Roman" w:hAnsi="Times New Roman" w:eastAsia="宋体" w:cs="Times New Roman"/>
      <w:sz w:val="18"/>
      <w:szCs w:val="20"/>
    </w:rPr>
  </w:style>
  <w:style w:type="paragraph" w:styleId="32">
    <w:name w:val="List Paragraph"/>
    <w:basedOn w:val="1"/>
    <w:link w:val="33"/>
    <w:qFormat/>
    <w:uiPriority w:val="34"/>
    <w:pPr>
      <w:ind w:firstLine="420" w:firstLineChars="200"/>
    </w:pPr>
  </w:style>
  <w:style w:type="character" w:customStyle="1" w:styleId="33">
    <w:name w:val="列出段落 Char"/>
    <w:link w:val="32"/>
    <w:qFormat/>
    <w:uiPriority w:val="34"/>
    <w:rPr>
      <w:rFonts w:ascii="Times New Roman" w:hAnsi="Times New Roman" w:eastAsia="宋体" w:cs="Times New Roman"/>
      <w:szCs w:val="20"/>
    </w:rPr>
  </w:style>
  <w:style w:type="paragraph" w:customStyle="1" w:styleId="34">
    <w:name w:val="正文文字3"/>
    <w:basedOn w:val="11"/>
    <w:qFormat/>
    <w:uiPriority w:val="0"/>
    <w:pPr>
      <w:ind w:left="0" w:firstLine="0"/>
    </w:pPr>
  </w:style>
  <w:style w:type="character" w:customStyle="1" w:styleId="35">
    <w:name w:val="日期 Char"/>
    <w:basedOn w:val="15"/>
    <w:link w:val="6"/>
    <w:semiHidden/>
    <w:qFormat/>
    <w:uiPriority w:val="99"/>
    <w:rPr>
      <w:rFonts w:ascii="Times New Roman" w:hAnsi="Times New Roman" w:eastAsia="宋体" w:cs="Times New Roman"/>
      <w:szCs w:val="20"/>
    </w:rPr>
  </w:style>
  <w:style w:type="character" w:customStyle="1" w:styleId="36">
    <w:name w:val="标题 Char"/>
    <w:basedOn w:val="15"/>
    <w:link w:val="12"/>
    <w:qFormat/>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4043</Words>
  <Characters>23046</Characters>
  <Lines>192</Lines>
  <Paragraphs>54</Paragraphs>
  <TotalTime>304</TotalTime>
  <ScaleCrop>false</ScaleCrop>
  <LinksUpToDate>false</LinksUpToDate>
  <CharactersWithSpaces>27035</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2019-11-15T03:37:00Z</dcterms:created>
  <dc:creator>李敏01</dc:creator>
  <cp:lastModifiedBy>远妄</cp:lastModifiedBy>
  <cp:lastPrinted>2020-05-13T03:27:00Z</cp:lastPrinted>
  <dcterms:modified xsi:type="dcterms:W3CDTF">2020-12-15T02:25:49Z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